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r>
        <w:rPr>
          <w:rFonts w:hint="eastAsia" w:ascii="宋体" w:hAnsi="宋体"/>
          <w:b/>
          <w:bCs/>
          <w:color w:val="000000"/>
          <w:szCs w:val="21"/>
        </w:rPr>
        <w:t>毛泽东的</w:t>
      </w:r>
      <w:r>
        <w:rPr>
          <w:rFonts w:hint="eastAsia" w:ascii="宋体" w:hAnsi="宋体"/>
          <w:b/>
          <w:szCs w:val="21"/>
        </w:rPr>
        <w:t>红卫兵</w:t>
      </w:r>
    </w:p>
    <w:p>
      <w:pPr>
        <w:jc w:val="center"/>
        <w:rPr>
          <w:rFonts w:hint="eastAsia" w:ascii="宋体" w:hAnsi="宋体"/>
          <w:b/>
          <w:szCs w:val="21"/>
        </w:rPr>
      </w:pPr>
    </w:p>
    <w:p>
      <w:pPr>
        <w:jc w:val="center"/>
        <w:rPr>
          <w:rFonts w:hint="default" w:ascii="宋体" w:hAnsi="宋体" w:eastAsia="宋体"/>
          <w:b w:val="0"/>
          <w:bCs/>
          <w:szCs w:val="21"/>
          <w:lang w:val="en-US" w:eastAsia="zh-CN"/>
        </w:rPr>
      </w:pPr>
      <w:r>
        <w:rPr>
          <w:rFonts w:hint="eastAsia" w:ascii="宋体" w:hAnsi="宋体"/>
          <w:b w:val="0"/>
          <w:bCs/>
          <w:szCs w:val="21"/>
          <w:lang w:eastAsia="zh-CN"/>
        </w:rPr>
        <w:t>作者</w:t>
      </w:r>
      <w:r>
        <w:rPr>
          <w:rFonts w:hint="eastAsia" w:ascii="宋体" w:hAnsi="宋体"/>
          <w:b w:val="0"/>
          <w:bCs/>
          <w:szCs w:val="21"/>
          <w:lang w:val="en-US" w:eastAsia="zh-CN"/>
        </w:rPr>
        <w:t xml:space="preserve"> 于松然</w:t>
      </w:r>
    </w:p>
    <w:p>
      <w:pPr>
        <w:ind w:left="482"/>
        <w:jc w:val="left"/>
        <w:rPr>
          <w:rFonts w:hint="eastAsia" w:ascii="宋体" w:hAnsi="宋体"/>
          <w:color w:val="000000"/>
          <w:szCs w:val="21"/>
        </w:rPr>
      </w:pPr>
      <w:r>
        <w:rPr>
          <w:rFonts w:hint="eastAsia" w:ascii="宋体" w:hAnsi="宋体"/>
          <w:b/>
          <w:color w:val="000000"/>
          <w:szCs w:val="21"/>
        </w:rPr>
        <w:t xml:space="preserve">  </w:t>
      </w:r>
    </w:p>
    <w:tbl>
      <w:tblPr>
        <w:tblStyle w:val="2"/>
        <w:tblW w:w="0" w:type="auto"/>
        <w:jc w:val="center"/>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Layout w:type="fixed"/>
        <w:tblCellMar>
          <w:top w:w="0" w:type="dxa"/>
          <w:left w:w="108" w:type="dxa"/>
          <w:bottom w:w="0" w:type="dxa"/>
          <w:right w:w="108" w:type="dxa"/>
        </w:tblCellMar>
      </w:tblPr>
      <w:tblGrid>
        <w:gridCol w:w="2473"/>
        <w:gridCol w:w="2310"/>
        <w:gridCol w:w="1543"/>
      </w:tblGrid>
      <w:tr>
        <w:tblPrEx>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CellMar>
            <w:top w:w="0" w:type="dxa"/>
            <w:left w:w="108" w:type="dxa"/>
            <w:bottom w:w="0" w:type="dxa"/>
            <w:right w:w="108" w:type="dxa"/>
          </w:tblCellMar>
        </w:tblPrEx>
        <w:trPr>
          <w:trHeight w:val="1690" w:hRule="atLeast"/>
          <w:jc w:val="center"/>
        </w:trPr>
        <w:tc>
          <w:tcPr>
            <w:tcW w:w="2473" w:type="dxa"/>
            <w:tcBorders>
              <w:right w:val="dashSmallGap" w:color="auto" w:sz="4" w:space="0"/>
            </w:tcBorders>
            <w:noWrap w:val="0"/>
            <w:vAlign w:val="top"/>
          </w:tcPr>
          <w:p>
            <w:pPr>
              <w:jc w:val="center"/>
              <w:rPr>
                <w:rFonts w:hint="eastAsia" w:ascii="宋体" w:hAnsi="宋体"/>
                <w:color w:val="000000"/>
                <w:sz w:val="18"/>
                <w:szCs w:val="18"/>
              </w:rPr>
            </w:pPr>
            <w:r>
              <w:rPr>
                <w:rFonts w:ascii="宋体" w:hAnsi="宋体"/>
                <w:color w:val="000000"/>
                <w:sz w:val="18"/>
                <w:szCs w:val="18"/>
              </w:rPr>
              <w:drawing>
                <wp:inline distT="0" distB="0" distL="114300" distR="114300">
                  <wp:extent cx="1541780" cy="1004570"/>
                  <wp:effectExtent l="0" t="0" r="1270" b="5080"/>
                  <wp:docPr id="4" name="图片 1" descr="一张老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一张老照片"/>
                          <pic:cNvPicPr>
                            <a:picLocks noChangeAspect="1"/>
                          </pic:cNvPicPr>
                        </pic:nvPicPr>
                        <pic:blipFill>
                          <a:blip r:embed="rId4"/>
                          <a:stretch>
                            <a:fillRect/>
                          </a:stretch>
                        </pic:blipFill>
                        <pic:spPr>
                          <a:xfrm>
                            <a:off x="0" y="0"/>
                            <a:ext cx="1541780" cy="1004570"/>
                          </a:xfrm>
                          <a:prstGeom prst="rect">
                            <a:avLst/>
                          </a:prstGeom>
                          <a:noFill/>
                          <a:ln>
                            <a:noFill/>
                          </a:ln>
                        </pic:spPr>
                      </pic:pic>
                    </a:graphicData>
                  </a:graphic>
                </wp:inline>
              </w:drawing>
            </w:r>
          </w:p>
        </w:tc>
        <w:tc>
          <w:tcPr>
            <w:tcW w:w="2310" w:type="dxa"/>
            <w:tcBorders>
              <w:left w:val="dashSmallGap" w:color="auto" w:sz="4" w:space="0"/>
              <w:right w:val="dashSmallGap" w:color="auto" w:sz="4" w:space="0"/>
            </w:tcBorders>
            <w:noWrap w:val="0"/>
            <w:vAlign w:val="top"/>
          </w:tcPr>
          <w:p>
            <w:pPr>
              <w:jc w:val="center"/>
              <w:rPr>
                <w:rFonts w:hint="eastAsia"/>
              </w:rPr>
            </w:pPr>
            <w:r>
              <w:rPr>
                <w:rFonts w:hint="eastAsia" w:ascii="宋体" w:hAnsi="宋体"/>
                <w:color w:val="000000"/>
                <w:sz w:val="18"/>
                <w:szCs w:val="18"/>
              </w:rPr>
              <w:drawing>
                <wp:inline distT="0" distB="0" distL="114300" distR="114300">
                  <wp:extent cx="1377950" cy="1003300"/>
                  <wp:effectExtent l="0" t="0" r="12700" b="6350"/>
                  <wp:docPr id="6" name="图片 2" descr="中学生合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中学生合影"/>
                          <pic:cNvPicPr>
                            <a:picLocks noChangeAspect="1"/>
                          </pic:cNvPicPr>
                        </pic:nvPicPr>
                        <pic:blipFill>
                          <a:blip r:embed="rId5"/>
                          <a:stretch>
                            <a:fillRect/>
                          </a:stretch>
                        </pic:blipFill>
                        <pic:spPr>
                          <a:xfrm>
                            <a:off x="0" y="0"/>
                            <a:ext cx="1377950" cy="1003300"/>
                          </a:xfrm>
                          <a:prstGeom prst="rect">
                            <a:avLst/>
                          </a:prstGeom>
                          <a:noFill/>
                          <a:ln>
                            <a:noFill/>
                          </a:ln>
                        </pic:spPr>
                      </pic:pic>
                    </a:graphicData>
                  </a:graphic>
                </wp:inline>
              </w:drawing>
            </w:r>
          </w:p>
        </w:tc>
        <w:tc>
          <w:tcPr>
            <w:tcW w:w="1543" w:type="dxa"/>
            <w:tcBorders>
              <w:left w:val="dashSmallGap" w:color="auto" w:sz="4" w:space="0"/>
            </w:tcBorders>
            <w:noWrap w:val="0"/>
            <w:vAlign w:val="top"/>
          </w:tcPr>
          <w:p>
            <w:pPr>
              <w:jc w:val="center"/>
              <w:rPr>
                <w:rFonts w:hint="eastAsia"/>
              </w:rPr>
            </w:pPr>
            <w:r>
              <w:rPr>
                <w:rFonts w:hint="eastAsia" w:ascii="宋体" w:hAnsi="宋体"/>
                <w:color w:val="000000"/>
                <w:sz w:val="18"/>
                <w:szCs w:val="18"/>
              </w:rPr>
              <w:drawing>
                <wp:inline distT="0" distB="0" distL="114300" distR="114300">
                  <wp:extent cx="927735" cy="1085215"/>
                  <wp:effectExtent l="0" t="0" r="5715" b="635"/>
                  <wp:docPr id="7" name="图片 3"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a"/>
                          <pic:cNvPicPr>
                            <a:picLocks noChangeAspect="1"/>
                          </pic:cNvPicPr>
                        </pic:nvPicPr>
                        <pic:blipFill>
                          <a:blip r:embed="rId6"/>
                          <a:stretch>
                            <a:fillRect/>
                          </a:stretch>
                        </pic:blipFill>
                        <pic:spPr>
                          <a:xfrm>
                            <a:off x="0" y="0"/>
                            <a:ext cx="927735" cy="1085215"/>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dashSmallGap" w:color="auto" w:sz="4" w:space="0"/>
            <w:insideV w:val="none" w:color="auto" w:sz="0" w:space="0"/>
          </w:tblBorders>
          <w:tblCellMar>
            <w:top w:w="0" w:type="dxa"/>
            <w:left w:w="108" w:type="dxa"/>
            <w:bottom w:w="0" w:type="dxa"/>
            <w:right w:w="108" w:type="dxa"/>
          </w:tblCellMar>
        </w:tblPrEx>
        <w:trPr>
          <w:trHeight w:val="322" w:hRule="atLeast"/>
          <w:jc w:val="center"/>
        </w:trPr>
        <w:tc>
          <w:tcPr>
            <w:tcW w:w="4783" w:type="dxa"/>
            <w:gridSpan w:val="2"/>
            <w:noWrap w:val="0"/>
            <w:vAlign w:val="top"/>
          </w:tcPr>
          <w:p>
            <w:pPr>
              <w:jc w:val="center"/>
              <w:rPr>
                <w:rFonts w:hint="eastAsia" w:ascii="宋体" w:hAnsi="宋体"/>
                <w:color w:val="000000"/>
                <w:sz w:val="18"/>
                <w:szCs w:val="18"/>
              </w:rPr>
            </w:pPr>
            <w:r>
              <w:rPr>
                <w:rFonts w:hint="eastAsia" w:ascii="宋体" w:hAnsi="宋体"/>
                <w:color w:val="000000"/>
                <w:sz w:val="15"/>
                <w:szCs w:val="15"/>
              </w:rPr>
              <w:t xml:space="preserve">            毛泽东的红卫兵（左、中）；红卫兵游行示威（右）</w:t>
            </w:r>
          </w:p>
        </w:tc>
        <w:tc>
          <w:tcPr>
            <w:tcW w:w="1543" w:type="dxa"/>
            <w:noWrap w:val="0"/>
            <w:vAlign w:val="top"/>
          </w:tcPr>
          <w:p>
            <w:pPr>
              <w:jc w:val="center"/>
              <w:rPr>
                <w:rFonts w:hint="eastAsia" w:ascii="宋体" w:hAnsi="宋体"/>
                <w:color w:val="000000"/>
                <w:sz w:val="18"/>
                <w:szCs w:val="18"/>
              </w:rPr>
            </w:pPr>
          </w:p>
        </w:tc>
      </w:tr>
    </w:tbl>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 </w:t>
      </w:r>
      <w:r>
        <w:rPr>
          <w:rFonts w:hint="eastAsia" w:ascii="宋体" w:hAnsi="宋体" w:cs="宋体"/>
        </w:rPr>
        <w:t>“红卫兵”最早是北京市清华附中几个学生写的一张小字报的署名。1966年5月29日，清华附中学生</w:t>
      </w:r>
      <w:r>
        <w:rPr>
          <w:rFonts w:hint="eastAsia" w:ascii="宋体" w:hAnsi="宋体" w:cs="宋体"/>
          <w:b/>
          <w:bCs/>
        </w:rPr>
        <w:t>卜大华</w:t>
      </w:r>
      <w:r>
        <w:rPr>
          <w:rFonts w:hint="eastAsia" w:ascii="宋体" w:hAnsi="宋体" w:cs="宋体"/>
        </w:rPr>
        <w:t>、</w:t>
      </w:r>
      <w:r>
        <w:rPr>
          <w:rFonts w:hint="eastAsia" w:ascii="宋体" w:hAnsi="宋体" w:cs="宋体"/>
          <w:b/>
          <w:bCs/>
        </w:rPr>
        <w:t>骆小海</w:t>
      </w:r>
      <w:r>
        <w:rPr>
          <w:rFonts w:hint="eastAsia" w:ascii="宋体" w:hAnsi="宋体" w:cs="宋体"/>
        </w:rPr>
        <w:t>、</w:t>
      </w:r>
      <w:r>
        <w:rPr>
          <w:rFonts w:hint="eastAsia" w:ascii="宋体" w:hAnsi="宋体" w:cs="宋体"/>
          <w:b/>
          <w:bCs/>
        </w:rPr>
        <w:t>张承志</w:t>
      </w:r>
      <w:r>
        <w:rPr>
          <w:rFonts w:hint="eastAsia" w:ascii="宋体" w:hAnsi="宋体" w:cs="宋体"/>
        </w:rPr>
        <w:t>等人，首先发起成立了红卫兵组织。这个由工农兵、革命干部等红五类家庭出身的中学生组成的组织，是个比较自由的团体，年龄多在13～18岁之间。据说，这是全国第一个红卫兵组织。由于比较自由，许多学校便亦步亦趋，纷纷效法，也建立起自己的红卫兵组织来。然而，正是由于比较自由，便与刘，邓派出控制局面的工作组发生尖锐冲突。</w:t>
      </w:r>
      <w:r>
        <w:rPr>
          <w:rFonts w:hint="eastAsia" w:ascii="宋体" w:hAnsi="宋体" w:cs="宋体"/>
          <w:b/>
          <w:bCs/>
        </w:rPr>
        <w:t>控制与反控制</w:t>
      </w:r>
      <w:r>
        <w:rPr>
          <w:rFonts w:hint="eastAsia" w:ascii="宋体" w:hAnsi="宋体" w:cs="宋体"/>
        </w:rPr>
        <w:t>的斗争，便在工作组与红卫兵之间展开，而且愈演愈烈。由是，许多红卫兵被大权在握的工作组打成反革命，其组织被勒令解散。在控制与反控制的冲突中，天才的毛泽东忽然发现，红卫兵组织可以成为他终结刘、邓权力的依靠力量。于是，他决定支持红卫兵组织。6月2日，在他秘密授意下，清华附中的校园里正式贴出了署名“红卫兵”的大字报。在军干子弟卜大华的带动下，100多个学生在大字报上面签了名。秘密授意是毛泽东发动群众的高招。接着，在中央文革小组成员的鼓动、串连和捉笔、修改下，卜大华等几个中学生又贴出了《无产阶级的革命造反精神万岁》的小字报，尔后又写出了《二论》和《三论》。至此，红卫兵组织已打上了权力的烙印，失去了自发、自由的动力。7月28日，他们把《两论》交给了授意者江青，要她转呈毛泽东。</w:t>
      </w:r>
    </w:p>
    <w:p>
      <w:pPr>
        <w:widowControl/>
        <w:snapToGrid w:val="0"/>
        <w:ind w:firstLine="420" w:firstLineChars="200"/>
        <w:jc w:val="left"/>
        <w:rPr>
          <w:rFonts w:hint="eastAsia"/>
        </w:rPr>
      </w:pPr>
    </w:p>
    <w:p>
      <w:pPr>
        <w:widowControl/>
        <w:snapToGrid w:val="0"/>
        <w:ind w:firstLine="420" w:firstLineChars="200"/>
        <w:jc w:val="left"/>
        <w:rPr>
          <w:rFonts w:hint="eastAsia" w:ascii="宋体" w:hAnsi="宋体" w:cs="宋体"/>
        </w:rPr>
      </w:pPr>
      <w:r>
        <w:rPr>
          <w:rFonts w:hint="eastAsia" w:ascii="宋体" w:hAnsi="宋体" w:cs="宋体"/>
        </w:rPr>
        <w:t>8月1日，为了挫败刘、邓派工作组控制局面的努力，善于煽动勇敢分子、流氓无产者和痞子起来造反的毛泽东，接到《两论》后，按既定计划，给十几岁的中学生们写了一封回信，鼓动他们起来向党内右派官僚特权阶级造反。</w:t>
      </w:r>
    </w:p>
    <w:p>
      <w:pPr>
        <w:widowControl/>
        <w:snapToGrid w:val="0"/>
        <w:ind w:firstLine="420" w:firstLineChars="200"/>
        <w:jc w:val="left"/>
        <w:rPr>
          <w:rFonts w:hint="eastAsia" w:ascii="宋体" w:hAnsi="宋体" w:cs="宋体"/>
        </w:rPr>
      </w:pPr>
    </w:p>
    <w:p>
      <w:pPr>
        <w:widowControl/>
        <w:snapToGrid w:val="0"/>
        <w:ind w:firstLine="420" w:firstLineChars="200"/>
        <w:jc w:val="left"/>
        <w:rPr>
          <w:rFonts w:hint="eastAsia"/>
        </w:rPr>
      </w:pPr>
      <w:r>
        <w:rPr>
          <w:rFonts w:hint="eastAsia" w:ascii="宋体" w:hAnsi="宋体" w:cs="宋体"/>
        </w:rPr>
        <w:t>回信全文如下：</w:t>
      </w:r>
    </w:p>
    <w:p>
      <w:pPr>
        <w:widowControl/>
        <w:snapToGrid w:val="0"/>
        <w:ind w:firstLine="420" w:firstLineChars="200"/>
        <w:jc w:val="left"/>
        <w:rPr>
          <w:rFonts w:hint="eastAsia"/>
        </w:rPr>
      </w:pPr>
      <w:r>
        <w:rPr>
          <w:rFonts w:hint="eastAsia"/>
        </w:rPr>
        <w:t>　　</w:t>
      </w:r>
    </w:p>
    <w:p>
      <w:pPr>
        <w:ind w:firstLine="420" w:firstLineChars="200"/>
        <w:rPr>
          <w:rFonts w:hint="eastAsia" w:ascii="宋体" w:hAnsi="宋体" w:eastAsia="宋体" w:cs="宋体"/>
        </w:rPr>
      </w:pPr>
      <w:r>
        <w:rPr>
          <w:rFonts w:hint="eastAsia" w:ascii="宋体" w:hAnsi="宋体" w:eastAsia="宋体" w:cs="宋体"/>
        </w:rPr>
        <w:t>清华大学附属中学红卫兵同志们：</w:t>
      </w:r>
    </w:p>
    <w:p>
      <w:pPr>
        <w:widowControl/>
        <w:snapToGrid w:val="0"/>
        <w:ind w:firstLine="420" w:firstLineChars="200"/>
        <w:jc w:val="left"/>
        <w:rPr>
          <w:rStyle w:val="6"/>
          <w:rFonts w:hint="eastAsia" w:ascii="宋体" w:hAnsi="宋体" w:eastAsia="宋体" w:cs="宋体"/>
          <w:kern w:val="0"/>
        </w:rPr>
      </w:pPr>
      <w:r>
        <w:rPr>
          <w:rStyle w:val="6"/>
          <w:rFonts w:hint="eastAsia" w:ascii="宋体" w:hAnsi="宋体" w:eastAsia="宋体" w:cs="宋体"/>
          <w:kern w:val="0"/>
        </w:rPr>
        <w:t xml:space="preserve"> </w:t>
      </w:r>
    </w:p>
    <w:p>
      <w:pPr>
        <w:ind w:firstLine="420" w:firstLineChars="200"/>
        <w:jc w:val="left"/>
        <w:rPr>
          <w:rStyle w:val="6"/>
          <w:rFonts w:hint="eastAsia" w:ascii="宋体" w:hAnsi="宋体" w:eastAsia="宋体" w:cs="宋体"/>
          <w:kern w:val="0"/>
        </w:rPr>
      </w:pPr>
      <w:r>
        <w:rPr>
          <w:rStyle w:val="6"/>
          <w:rFonts w:hint="eastAsia" w:ascii="宋体" w:hAnsi="宋体" w:eastAsia="宋体" w:cs="宋体"/>
          <w:kern w:val="0"/>
        </w:rPr>
        <w:t>你们在七月二十八日寄给我的两张大字报以及转给我要我回答的信，都收到了。你们在六月二十四日和七月四日的两张大字报，说明对一切剥削压迫工人、农民、革命知识分子和革命党派的地主阶级、资产阶级、帝国主义、修正主义和他们的走狗，表示愤怒和申讨，说明对反动派</w:t>
      </w:r>
      <w:r>
        <w:rPr>
          <w:rStyle w:val="6"/>
          <w:rFonts w:hint="eastAsia" w:ascii="宋体" w:hAnsi="宋体" w:eastAsia="宋体" w:cs="宋体"/>
          <w:b/>
          <w:kern w:val="0"/>
        </w:rPr>
        <w:t>造反有理</w:t>
      </w:r>
      <w:r>
        <w:rPr>
          <w:rStyle w:val="6"/>
          <w:rFonts w:hint="eastAsia" w:ascii="宋体" w:hAnsi="宋体" w:eastAsia="宋体" w:cs="宋体"/>
          <w:kern w:val="0"/>
        </w:rPr>
        <w:t>，我向你们表示热烈的支持。同时我对北京大学附属中学红旗战斗小组说明对反动</w:t>
      </w:r>
      <w:r>
        <w:rPr>
          <w:rStyle w:val="6"/>
          <w:rFonts w:hint="eastAsia" w:ascii="宋体" w:hAnsi="宋体" w:eastAsia="宋体" w:cs="宋体"/>
          <w:color w:val="000000"/>
          <w:kern w:val="0"/>
        </w:rPr>
        <w:t>派造反有理</w:t>
      </w:r>
      <w:r>
        <w:rPr>
          <w:rStyle w:val="6"/>
          <w:rFonts w:hint="eastAsia" w:ascii="宋体" w:hAnsi="宋体" w:eastAsia="宋体" w:cs="宋体"/>
          <w:kern w:val="0"/>
        </w:rPr>
        <w:t>的大字报和由</w:t>
      </w:r>
      <w:r>
        <w:rPr>
          <w:rStyle w:val="6"/>
          <w:rFonts w:hint="eastAsia" w:ascii="宋体" w:hAnsi="宋体" w:eastAsia="宋体" w:cs="宋体"/>
          <w:b/>
          <w:kern w:val="0"/>
        </w:rPr>
        <w:t>彭小蒙</w:t>
      </w:r>
      <w:r>
        <w:rPr>
          <w:rStyle w:val="6"/>
          <w:rFonts w:hint="eastAsia" w:ascii="宋体" w:hAnsi="宋体" w:eastAsia="宋体" w:cs="宋体"/>
          <w:kern w:val="0"/>
        </w:rPr>
        <w:t>同志于七月二十五日在北京大学全体师生员工大会上，代表她们红旗战斗小组所作的很好的革命演说，表示热烈的支持。在这里，我要说，我和我的革命战友，都是采取同样态度的。不论在北京，在全国，在文化大革命运动中，凡是同你们采取同样革命态度的人们，我们一律给予热烈的支持。还有，我们支持你们，我们又要求你们注意争取团结一切可以团结的人们。对于犯有严重错误的人们，在指出他们的错误以后，也要给以工作和改正错误重新作人的出路。马克思说，无产阶级不但要解放自己，而且要解放全人类。如果不能解放全人类，无产阶级自己就不能最后地得到解放。这个道理，也请同志们予以注意。</w:t>
      </w:r>
    </w:p>
    <w:p>
      <w:pPr>
        <w:ind w:firstLine="5250" w:firstLineChars="2500"/>
        <w:jc w:val="left"/>
        <w:rPr>
          <w:rFonts w:hint="eastAsia" w:ascii="宋体" w:hAnsi="宋体" w:eastAsia="宋体" w:cs="宋体"/>
          <w:kern w:val="0"/>
        </w:rPr>
      </w:pPr>
      <w:r>
        <w:rPr>
          <w:rFonts w:hint="eastAsia" w:ascii="宋体" w:hAnsi="宋体" w:eastAsia="宋体" w:cs="宋体"/>
        </w:rPr>
        <w:t xml:space="preserve">毛泽东 </w:t>
      </w:r>
    </w:p>
    <w:p>
      <w:pPr>
        <w:ind w:firstLine="6510" w:firstLineChars="3100"/>
        <w:jc w:val="left"/>
        <w:rPr>
          <w:rFonts w:hint="eastAsia" w:ascii="楷体_GB2312" w:eastAsia="楷体_GB2312"/>
        </w:rPr>
      </w:pPr>
    </w:p>
    <w:p>
      <w:pPr>
        <w:jc w:val="left"/>
        <w:rPr>
          <w:rFonts w:hint="eastAsia" w:ascii="楷体_GB2312" w:eastAsia="楷体_GB2312"/>
        </w:rPr>
      </w:pPr>
      <w:r>
        <w:rPr>
          <w:rFonts w:hint="eastAsia" w:ascii="楷体_GB2312" w:eastAsia="楷体_GB2312"/>
        </w:rPr>
        <w:t xml:space="preserve">   </w:t>
      </w:r>
      <w:r>
        <w:rPr>
          <w:rFonts w:hint="eastAsia" w:ascii="宋体" w:hAnsi="宋体" w:cs="宋体"/>
          <w:szCs w:val="21"/>
        </w:rPr>
        <w:t xml:space="preserve"> </w:t>
      </w:r>
      <w:r>
        <w:rPr>
          <w:rFonts w:hint="eastAsia" w:ascii="宋体" w:hAnsi="宋体" w:cs="宋体"/>
        </w:rPr>
        <w:t>然而，两年后的1968年8月8日，毛泽东在接见中央文革碰头会成员和吴德谈高等学校问题时说：“</w:t>
      </w:r>
      <w:r>
        <w:rPr>
          <w:rFonts w:hint="eastAsia" w:ascii="宋体" w:hAnsi="宋体" w:cs="宋体"/>
          <w:b/>
          <w:bCs/>
        </w:rPr>
        <w:t>靠学生解决问题是不行的，历来如此。学生一不掌握工业，二不掌握农业，三不掌握交通，四不掌握兵。他们只有闹一闹。</w:t>
      </w:r>
      <w:r>
        <w:rPr>
          <w:rFonts w:hint="eastAsia" w:ascii="宋体" w:hAnsi="宋体" w:cs="宋体"/>
        </w:rPr>
        <w:t>”显然，毛泽东支持红卫兵的目的，是叫他们出来“闹一闹”，闹得刘、邓右派集团不得安宁，闹得刘、邓工作组无法控制局面，闹得他能借机镇压异己者，闹得他能借势夺权。这与他高度赞扬红卫兵的造反精神，相去何止十万八千里？面对毛在暗箱中的计谋，十几岁的红卫兵怎能理解？</w:t>
      </w:r>
    </w:p>
    <w:p>
      <w:pPr>
        <w:jc w:val="left"/>
        <w:rPr>
          <w:rFonts w:hint="eastAsia"/>
        </w:rPr>
      </w:pPr>
    </w:p>
    <w:p>
      <w:pPr>
        <w:ind w:firstLine="420" w:firstLineChars="200"/>
        <w:jc w:val="left"/>
        <w:rPr>
          <w:rFonts w:hint="eastAsia" w:ascii="宋体" w:hAnsi="宋体"/>
          <w:color w:val="000000"/>
          <w:szCs w:val="21"/>
        </w:rPr>
      </w:pPr>
      <w:r>
        <w:rPr>
          <w:rFonts w:hint="eastAsia"/>
        </w:rPr>
        <w:t>毛泽东的回信，使备受刘、邓工作组压抑的红卫兵受到了极大的鼓舞，他们迅即打出造反旗号，高呼“造反有理”的口号，心甘情愿地当起毛的打手、屠夫来。毛泽东幕后发动和操纵红卫兵的阴、阳两谋，获得了空前的成功。</w:t>
      </w:r>
    </w:p>
    <w:p>
      <w:pPr>
        <w:ind w:firstLine="420" w:firstLineChars="200"/>
        <w:jc w:val="left"/>
        <w:rPr>
          <w:rFonts w:hint="eastAsia" w:ascii="宋体" w:hAnsi="宋体"/>
          <w:color w:val="000000"/>
          <w:szCs w:val="21"/>
        </w:rPr>
      </w:pPr>
    </w:p>
    <w:p>
      <w:pPr>
        <w:ind w:firstLine="420" w:firstLineChars="200"/>
        <w:jc w:val="left"/>
        <w:rPr>
          <w:rFonts w:hint="eastAsia"/>
        </w:rPr>
      </w:pPr>
      <w:r>
        <w:rPr>
          <w:rFonts w:hint="eastAsia"/>
        </w:rPr>
        <w:t>青少年处在成长期，需要用体现现代文明的学校教育和家庭教育来启迪他们的智慧，规范他们的言行，使他们成长为恪守社会公德的公民。但在毛泽东封建党阀式的革命式的教育中，一方面，他用“读毛主席的书，听毛主席的话，照毛主席的指示办事”的说教，压制人类的自由天性，培养绝对服从的奴性，把青少年驯化成党的驯服工具；另一方面，他用阶级斗争说教，煽动仇恨，使敌视人权、自由的兽性得以张扬，从而使青少年学生特别是其中的勇敢分子，心目中充满“怀疑一切、打倒一切”的反社会性——是非不分、仁义不恭、理性丧失、出手凶狠。这种驯服工具的反社会性，从当时红卫兵的流行话语中已表现了出来：“革命就是造反，毛泽东思想的灵魂就是造反。”“一句话敢造反，这是无产阶级革命家最基本最可贵的品质，是无产阶级党性的基本原则！不造反就是100％的修正主义！”他们最热衷的毛泽东语录是：“</w:t>
      </w:r>
      <w:r>
        <w:rPr>
          <w:rFonts w:hint="eastAsia"/>
          <w:b/>
          <w:bCs/>
        </w:rPr>
        <w:t>革命不是请客吃饭，不是做文章，不是绘画绣花，不能那样雅致，那样从容不迫，文质彬彬，那样温良恭俭让。革命是暴动，是一个阶级推翻另一个阶级的暴烈的行动</w:t>
      </w:r>
      <w:r>
        <w:rPr>
          <w:rFonts w:hint="eastAsia"/>
        </w:rPr>
        <w:t>。” 就这样，在毛泽东的调教和鼓舞下，青少年学生“摇身”变成了红卫兵，一大批盲目仇视现代文明、行事残忍的小流氓、小痞子和小刽子手，被毛泽东制造了出来。</w:t>
      </w:r>
    </w:p>
    <w:p>
      <w:pPr>
        <w:ind w:firstLine="420" w:firstLineChars="200"/>
        <w:jc w:val="left"/>
        <w:rPr>
          <w:rFonts w:hint="eastAsia"/>
        </w:rPr>
      </w:pPr>
    </w:p>
    <w:p>
      <w:pPr>
        <w:jc w:val="left"/>
        <w:rPr>
          <w:rFonts w:hint="eastAsia"/>
        </w:rPr>
      </w:pPr>
      <w:r>
        <w:rPr>
          <w:rFonts w:hint="eastAsia"/>
        </w:rPr>
        <w:t xml:space="preserve">    毛泽东搞政治运动亦即所谓的“群众运动”，有丰富的经验，是发动群众的行家里手。每次运动前，他都能运筹于暗箱之中，然后发动盲从者和包括痞子、二愣子、勇敢分子、流氓无产者在内的“群众”，为他的政治目的冲锋陷阵。这次，他要借无知青少年红卫兵这口“刀”，砍向政敌——以刘、邓为首的右派集团以及异己者和持不同政见者。</w:t>
      </w:r>
    </w:p>
    <w:p>
      <w:pPr>
        <w:jc w:val="left"/>
        <w:rPr>
          <w:rFonts w:hint="eastAsia"/>
        </w:rPr>
      </w:pPr>
    </w:p>
    <w:p>
      <w:pPr>
        <w:ind w:firstLine="420" w:firstLineChars="200"/>
        <w:jc w:val="left"/>
        <w:rPr>
          <w:rFonts w:hint="eastAsia" w:ascii="楷体" w:hAnsi="楷体" w:eastAsia="楷体" w:cs="楷体"/>
        </w:rPr>
      </w:pPr>
      <w:r>
        <w:rPr>
          <w:rFonts w:hint="eastAsia"/>
        </w:rPr>
        <w:t>毛泽东对《两论》的回信，煽起了反社会的狂热，把红卫兵推上了政治舞台。这封信所包涵的信息，立刻传遍了全国，各地学生们都把“红卫兵”看成是最光彩的名称，纷纷建立起自己的红卫兵组织。红卫兵运动由此风靡全国，震惊世界。随着时间的流逝，红卫兵的组织成分，也从学生，发展到教师、工人、干部、城市居民和农民，年龄也从青少年走向成年，红卫兵与造反派也融合为一体。</w:t>
      </w:r>
      <w:r>
        <w:rPr>
          <w:rFonts w:hint="eastAsia" w:ascii="宋体" w:hAnsi="宋体" w:eastAsia="宋体" w:cs="宋体"/>
          <w:lang w:eastAsia="zh-CN"/>
        </w:rPr>
        <w:t>（</w:t>
      </w:r>
      <w:r>
        <w:rPr>
          <w:rFonts w:hint="eastAsia" w:ascii="宋体" w:hAnsi="宋体" w:eastAsia="宋体" w:cs="宋体"/>
        </w:rPr>
        <w:t>痛定思痛，笔者紧急呼吁：北京天安门前，理应竖立一座《</w:t>
      </w:r>
      <w:r>
        <w:rPr>
          <w:rFonts w:hint="eastAsia" w:ascii="宋体" w:hAnsi="宋体" w:eastAsia="宋体" w:cs="宋体"/>
          <w:b/>
          <w:bCs/>
        </w:rPr>
        <w:t>红卫兵受难者纪念碑</w:t>
      </w:r>
      <w:r>
        <w:rPr>
          <w:rFonts w:hint="eastAsia" w:ascii="宋体" w:hAnsi="宋体" w:eastAsia="宋体" w:cs="宋体"/>
        </w:rPr>
        <w:t>》，每年8月1日，即毛泽东给清华大学附中学生回信号召红卫兵起来“造反”的那一天，为纪念碑祭扫日。）</w:t>
      </w:r>
    </w:p>
    <w:p>
      <w:pPr>
        <w:ind w:firstLine="420" w:firstLineChars="200"/>
        <w:jc w:val="left"/>
        <w:rPr>
          <w:rFonts w:hint="eastAsia" w:ascii="楷体" w:hAnsi="楷体" w:eastAsia="楷体" w:cs="楷体"/>
        </w:rPr>
      </w:pPr>
      <w:r>
        <w:rPr>
          <w:rFonts w:hint="eastAsia" w:ascii="楷体" w:hAnsi="楷体" w:eastAsia="楷体" w:cs="楷体"/>
        </w:rPr>
        <w:t>　　</w:t>
      </w:r>
    </w:p>
    <w:p>
      <w:pPr>
        <w:ind w:firstLine="420" w:firstLineChars="200"/>
        <w:jc w:val="left"/>
        <w:rPr>
          <w:rFonts w:hint="eastAsia"/>
        </w:rPr>
      </w:pPr>
      <w:r>
        <w:rPr>
          <w:rFonts w:hint="eastAsia"/>
        </w:rPr>
        <w:t>有人说，煽动红卫兵造反是步险棋，是走钢丝，但这正是毛泽东过人之处：集阴谋、煽动与控制于一身。曾任中共党史研究员的高文谦，在他的《晚年周恩来》一书中写道：</w:t>
      </w:r>
    </w:p>
    <w:p>
      <w:pPr>
        <w:ind w:firstLine="420" w:firstLineChars="200"/>
        <w:jc w:val="left"/>
        <w:rPr>
          <w:rFonts w:hint="eastAsia"/>
        </w:rPr>
      </w:pPr>
    </w:p>
    <w:p>
      <w:pPr>
        <w:ind w:firstLine="420" w:firstLineChars="200"/>
        <w:jc w:val="left"/>
        <w:rPr>
          <w:rFonts w:hint="eastAsia" w:ascii="宋体" w:hAnsi="宋体" w:eastAsia="宋体"/>
          <w:color w:val="000000"/>
          <w:szCs w:val="21"/>
          <w:lang w:eastAsia="zh-CN"/>
        </w:rPr>
      </w:pPr>
      <w:r>
        <w:rPr>
          <w:rFonts w:hint="eastAsia" w:ascii="宋体" w:hAnsi="宋体" w:eastAsia="宋体" w:cs="宋体"/>
          <w:color w:val="000000"/>
          <w:szCs w:val="21"/>
          <w:lang w:eastAsia="zh-CN"/>
        </w:rPr>
        <w:t>“</w:t>
      </w:r>
      <w:r>
        <w:rPr>
          <w:rFonts w:hint="eastAsia" w:ascii="宋体" w:hAnsi="宋体" w:eastAsia="宋体" w:cs="宋体"/>
          <w:color w:val="000000"/>
          <w:szCs w:val="21"/>
        </w:rPr>
        <w:t>毛泽东之所以在废黜了刘少奇的接班人地位后还不想收兵，是因为他深知眼前的胜利是不稳固的，刘只是暂时处于下风，并没有真正认错服输，随时可能卷土重来。刘在全会上的检讨发言虽然在表面上承认了错误，表示</w:t>
      </w:r>
      <w:r>
        <w:rPr>
          <w:rFonts w:hint="eastAsia" w:ascii="宋体" w:hAnsi="宋体" w:eastAsia="宋体" w:cs="宋体"/>
          <w:color w:val="000000"/>
          <w:szCs w:val="21"/>
          <w:lang w:eastAsia="zh-CN"/>
        </w:rPr>
        <w:t>‘</w:t>
      </w:r>
      <w:r>
        <w:rPr>
          <w:rFonts w:hint="eastAsia" w:ascii="宋体" w:hAnsi="宋体" w:eastAsia="宋体" w:cs="宋体"/>
          <w:color w:val="000000"/>
          <w:szCs w:val="21"/>
        </w:rPr>
        <w:t>对这次的决定思想上早有准备，完全没有抵触情绪</w:t>
      </w:r>
      <w:r>
        <w:rPr>
          <w:rFonts w:hint="eastAsia" w:ascii="宋体" w:hAnsi="宋体" w:eastAsia="宋体" w:cs="宋体"/>
          <w:color w:val="000000"/>
          <w:szCs w:val="21"/>
          <w:lang w:eastAsia="zh-CN"/>
        </w:rPr>
        <w:t>’</w:t>
      </w:r>
      <w:r>
        <w:rPr>
          <w:rFonts w:hint="eastAsia" w:ascii="宋体" w:hAnsi="宋体" w:eastAsia="宋体" w:cs="宋体"/>
          <w:color w:val="000000"/>
          <w:szCs w:val="21"/>
        </w:rPr>
        <w:t>，但实际上却并非如此。他在小组会议的发言中公开抱怨被毛和群众</w:t>
      </w:r>
      <w:r>
        <w:rPr>
          <w:rFonts w:hint="eastAsia" w:ascii="宋体" w:hAnsi="宋体" w:eastAsia="宋体" w:cs="宋体"/>
          <w:color w:val="000000"/>
          <w:szCs w:val="21"/>
          <w:lang w:eastAsia="zh-CN"/>
        </w:rPr>
        <w:t>‘</w:t>
      </w:r>
      <w:r>
        <w:rPr>
          <w:rFonts w:hint="eastAsia" w:ascii="宋体" w:hAnsi="宋体" w:eastAsia="宋体" w:cs="宋体"/>
          <w:color w:val="000000"/>
          <w:szCs w:val="21"/>
        </w:rPr>
        <w:t>夹在中间</w:t>
      </w:r>
      <w:r>
        <w:rPr>
          <w:rFonts w:hint="eastAsia" w:ascii="宋体" w:hAnsi="宋体" w:eastAsia="宋体" w:cs="宋体"/>
          <w:color w:val="000000"/>
          <w:szCs w:val="21"/>
          <w:lang w:eastAsia="zh-CN"/>
        </w:rPr>
        <w:t>’</w:t>
      </w:r>
      <w:r>
        <w:rPr>
          <w:rFonts w:hint="eastAsia" w:ascii="宋体" w:hAnsi="宋体" w:eastAsia="宋体" w:cs="宋体"/>
          <w:color w:val="000000"/>
          <w:szCs w:val="21"/>
        </w:rPr>
        <w:t>，</w:t>
      </w:r>
      <w:r>
        <w:rPr>
          <w:rFonts w:hint="eastAsia" w:ascii="宋体" w:hAnsi="宋体" w:eastAsia="宋体" w:cs="宋体"/>
          <w:color w:val="000000"/>
          <w:szCs w:val="21"/>
          <w:lang w:eastAsia="zh-CN"/>
        </w:rPr>
        <w:t>‘</w:t>
      </w:r>
      <w:r>
        <w:rPr>
          <w:rFonts w:hint="eastAsia" w:ascii="宋体" w:hAnsi="宋体" w:eastAsia="宋体" w:cs="宋体"/>
          <w:color w:val="000000"/>
          <w:szCs w:val="21"/>
        </w:rPr>
        <w:t>上挤下压</w:t>
      </w:r>
      <w:r>
        <w:rPr>
          <w:rFonts w:hint="eastAsia" w:ascii="宋体" w:hAnsi="宋体" w:eastAsia="宋体" w:cs="宋体"/>
          <w:color w:val="000000"/>
          <w:szCs w:val="21"/>
          <w:lang w:eastAsia="zh-CN"/>
        </w:rPr>
        <w:t>’</w:t>
      </w:r>
      <w:r>
        <w:rPr>
          <w:rFonts w:hint="eastAsia" w:ascii="宋体" w:hAnsi="宋体" w:eastAsia="宋体" w:cs="宋体"/>
          <w:color w:val="000000"/>
          <w:szCs w:val="21"/>
        </w:rPr>
        <w:t>。甚至借检讨之机发泄不满情绪，意在言外地影射说：</w:t>
      </w:r>
      <w:r>
        <w:rPr>
          <w:rFonts w:hint="eastAsia" w:ascii="宋体" w:hAnsi="宋体" w:eastAsia="宋体" w:cs="宋体"/>
          <w:color w:val="000000"/>
          <w:szCs w:val="21"/>
          <w:lang w:eastAsia="zh-CN"/>
        </w:rPr>
        <w:t>‘</w:t>
      </w:r>
      <w:r>
        <w:rPr>
          <w:rFonts w:hint="eastAsia" w:ascii="宋体" w:hAnsi="宋体" w:eastAsia="宋体" w:cs="宋体"/>
          <w:color w:val="000000"/>
          <w:szCs w:val="21"/>
        </w:rPr>
        <w:t>老虎屁股摸不得，结果就要被革掉，要让人家革，让人家摸，摸个痛快</w:t>
      </w:r>
      <w:r>
        <w:rPr>
          <w:rFonts w:hint="eastAsia" w:ascii="宋体" w:hAnsi="宋体" w:eastAsia="宋体" w:cs="宋体"/>
          <w:color w:val="000000"/>
          <w:szCs w:val="21"/>
          <w:lang w:eastAsia="zh-CN"/>
        </w:rPr>
        <w:t>’</w:t>
      </w:r>
      <w:r>
        <w:rPr>
          <w:rFonts w:hint="eastAsia" w:ascii="宋体" w:hAnsi="宋体" w:eastAsia="宋体" w:cs="宋体"/>
          <w:color w:val="000000"/>
          <w:szCs w:val="21"/>
        </w:rPr>
        <w:t>。况且，在毛泽东看来，刘少奇已经在党内经营多年，树大根深，影响远未肃清，从中央到地方各省、市都有他的人，目前各地的党政机构对文革运动普遍存在的消极抵制就是证明。而且在一股群众中，刘少奇的影响也不可低估。就在八届十一中全会期间，刘去北京建工学院看大字报的时候，围观的群众中还有人喊</w:t>
      </w:r>
      <w:r>
        <w:rPr>
          <w:rFonts w:hint="eastAsia" w:ascii="宋体" w:hAnsi="宋体" w:eastAsia="宋体" w:cs="宋体"/>
          <w:color w:val="000000"/>
          <w:szCs w:val="21"/>
          <w:lang w:eastAsia="zh-CN"/>
        </w:rPr>
        <w:t>‘</w:t>
      </w:r>
      <w:r>
        <w:rPr>
          <w:rFonts w:hint="eastAsia" w:ascii="宋体" w:hAnsi="宋体" w:eastAsia="宋体" w:cs="宋体"/>
          <w:szCs w:val="21"/>
        </w:rPr>
        <w:t>刘少奇万岁</w:t>
      </w:r>
      <w:r>
        <w:rPr>
          <w:rFonts w:hint="eastAsia" w:ascii="宋体" w:hAnsi="宋体" w:eastAsia="宋体" w:cs="宋体"/>
          <w:color w:val="000000"/>
          <w:szCs w:val="21"/>
          <w:lang w:eastAsia="zh-CN"/>
        </w:rPr>
        <w:t>’</w:t>
      </w:r>
      <w:r>
        <w:rPr>
          <w:rFonts w:hint="eastAsia" w:ascii="宋体" w:hAnsi="宋体" w:eastAsia="宋体" w:cs="宋体"/>
          <w:color w:val="000000"/>
          <w:szCs w:val="21"/>
        </w:rPr>
        <w:t>的。因此必须趁势穷追猛打，彻底肃清刘在政治上的影响，摧毁他的权力基础。否则的话，刘随时有可能利用党内的不满情绪杀回马枪，进行秋后算账，就像一九六二年七千人大会时那样。这是让毛深为忧虑的。</w:t>
      </w:r>
      <w:r>
        <w:rPr>
          <w:rFonts w:hint="eastAsia" w:ascii="宋体" w:hAnsi="宋体" w:eastAsia="宋体" w:cs="宋体"/>
          <w:color w:val="000000"/>
          <w:szCs w:val="21"/>
          <w:lang w:eastAsia="zh-CN"/>
        </w:rPr>
        <w:t>”</w:t>
      </w:r>
    </w:p>
    <w:p>
      <w:pPr>
        <w:jc w:val="left"/>
        <w:rPr>
          <w:rFonts w:hint="eastAsia" w:ascii="ˎ̥" w:hAnsi="ˎ̥"/>
        </w:rPr>
      </w:pPr>
    </w:p>
    <w:p>
      <w:pPr>
        <w:ind w:firstLine="420" w:firstLineChars="200"/>
        <w:jc w:val="left"/>
        <w:rPr>
          <w:rFonts w:hint="eastAsia"/>
        </w:rPr>
      </w:pPr>
      <w:r>
        <w:rPr>
          <w:rFonts w:hint="eastAsia" w:ascii="宋体" w:hAnsi="宋体" w:cs="宋体"/>
        </w:rPr>
        <w:t>由于十一中全会上遇到了党内右派集团的巨大阻力，毛泽东决心采取非常之举，“</w:t>
      </w:r>
      <w:r>
        <w:rPr>
          <w:rFonts w:hint="eastAsia" w:ascii="宋体" w:hAnsi="宋体" w:cs="宋体"/>
          <w:color w:val="000000"/>
          <w:szCs w:val="21"/>
        </w:rPr>
        <w:t>趁势穷追猛打</w:t>
      </w:r>
      <w:r>
        <w:rPr>
          <w:rFonts w:hint="eastAsia" w:ascii="宋体" w:hAnsi="宋体" w:cs="宋体"/>
        </w:rPr>
        <w:t>”。他</w:t>
      </w:r>
      <w:r>
        <w:rPr>
          <w:rFonts w:hint="eastAsia" w:ascii="宋体" w:hAnsi="宋体" w:cs="宋体"/>
          <w:b/>
          <w:bCs/>
        </w:rPr>
        <w:t>充分利用</w:t>
      </w:r>
      <w:r>
        <w:rPr>
          <w:rFonts w:hint="eastAsia" w:ascii="宋体" w:hAnsi="宋体" w:cs="宋体"/>
        </w:rPr>
        <w:t>长期封建党阀式奴化教育和阶级斗争熏陶下所制造出来的盲目仇外的民族主义、阶级仇恨主义和仇恨人类文明的汪达尔主义（</w:t>
      </w:r>
      <w:bookmarkStart w:id="0" w:name="第08章文中（1）"/>
      <w:bookmarkEnd w:id="0"/>
      <w:bookmarkStart w:id="1" w:name="_Hlt462934120"/>
      <w:bookmarkStart w:id="2" w:name="_Hlt468321998"/>
      <w:bookmarkStart w:id="3" w:name="_Hlt462761278"/>
      <w:bookmarkStart w:id="4" w:name="_Hlt462761250"/>
      <w:bookmarkStart w:id="5" w:name="_Hlt462771299"/>
      <w:bookmarkStart w:id="6" w:name="_Hlt505069199"/>
      <w:bookmarkStart w:id="7" w:name="_Hlt462761252"/>
      <w:bookmarkStart w:id="8" w:name="_Hlt462761307"/>
      <w:r>
        <w:rPr>
          <w:rFonts w:ascii="宋体" w:hAnsi="宋体" w:cs="宋体"/>
          <w:color w:val="auto"/>
        </w:rPr>
        <w:fldChar w:fldCharType="begin"/>
      </w:r>
      <w:r>
        <w:rPr>
          <w:rStyle w:val="4"/>
          <w:rFonts w:ascii="宋体" w:hAnsi="宋体" w:cs="宋体"/>
          <w:color w:val="auto"/>
        </w:rPr>
        <w:instrText xml:space="preserve">HYPERLINK  \l "第08章附注1"</w:instrText>
      </w:r>
      <w:r>
        <w:rPr>
          <w:rFonts w:ascii="宋体" w:hAnsi="宋体" w:cs="宋体"/>
          <w:color w:val="auto"/>
        </w:rPr>
        <w:fldChar w:fldCharType="separate"/>
      </w:r>
      <w:r>
        <w:rPr>
          <w:rStyle w:val="5"/>
          <w:rFonts w:hint="eastAsia" w:ascii="宋体" w:hAnsi="宋体" w:cs="宋体"/>
          <w:color w:val="auto"/>
        </w:rPr>
        <w:t>1</w:t>
      </w:r>
      <w:r>
        <w:rPr>
          <w:rFonts w:ascii="宋体" w:hAnsi="宋体" w:cs="宋体"/>
          <w:color w:val="auto"/>
        </w:rPr>
        <w:fldChar w:fldCharType="end"/>
      </w:r>
      <w:bookmarkEnd w:id="1"/>
      <w:bookmarkEnd w:id="2"/>
      <w:bookmarkEnd w:id="3"/>
      <w:bookmarkEnd w:id="4"/>
      <w:bookmarkEnd w:id="5"/>
      <w:bookmarkEnd w:id="6"/>
      <w:bookmarkEnd w:id="7"/>
      <w:bookmarkEnd w:id="8"/>
      <w:r>
        <w:rPr>
          <w:rFonts w:hint="eastAsia" w:ascii="宋体" w:hAnsi="宋体" w:cs="宋体"/>
        </w:rPr>
        <w:t>）等反社会的狂热，</w:t>
      </w:r>
      <w:r>
        <w:rPr>
          <w:rFonts w:hint="eastAsia" w:ascii="宋体" w:hAnsi="宋体" w:cs="宋体"/>
          <w:b/>
          <w:bCs/>
        </w:rPr>
        <w:t>充分利用</w:t>
      </w:r>
      <w:r>
        <w:rPr>
          <w:rFonts w:hint="eastAsia" w:ascii="宋体" w:hAnsi="宋体" w:cs="宋体"/>
        </w:rPr>
        <w:t>几年来造神运动所营造的个人崇拜氛围，</w:t>
      </w:r>
      <w:r>
        <w:rPr>
          <w:rFonts w:hint="eastAsia" w:ascii="宋体" w:hAnsi="宋体" w:cs="宋体"/>
          <w:b/>
          <w:bCs/>
        </w:rPr>
        <w:t>充分利用</w:t>
      </w:r>
      <w:r>
        <w:rPr>
          <w:rFonts w:hint="eastAsia" w:ascii="宋体" w:hAnsi="宋体" w:cs="宋体"/>
        </w:rPr>
        <w:t>群众对官僚特权阶级的不满情绪和青年师生与工作组之间的尖锐对立，</w:t>
      </w:r>
      <w:r>
        <w:rPr>
          <w:rFonts w:hint="eastAsia" w:ascii="宋体" w:hAnsi="宋体" w:cs="宋体"/>
          <w:b/>
          <w:bCs/>
        </w:rPr>
        <w:t>充分利用</w:t>
      </w:r>
      <w:r>
        <w:rPr>
          <w:rFonts w:hint="eastAsia" w:ascii="宋体" w:hAnsi="宋体" w:cs="宋体"/>
        </w:rPr>
        <w:t>青年学生易于煽动的弱点和无所畏惧的造反精神，特别是</w:t>
      </w:r>
      <w:r>
        <w:rPr>
          <w:rFonts w:hint="eastAsia" w:ascii="宋体" w:hAnsi="宋体" w:cs="宋体"/>
          <w:b/>
          <w:bCs/>
        </w:rPr>
        <w:t>充分利用</w:t>
      </w:r>
      <w:r>
        <w:rPr>
          <w:rFonts w:hint="eastAsia" w:ascii="宋体" w:hAnsi="宋体" w:cs="宋体"/>
        </w:rPr>
        <w:t>他刚刚缔造的红卫兵们的无知和强悍，去冲击中央和各地党政机关对运动的抗拒，把向刘、邓右派集团夺权、镇压异己者和持不同政见者的文化大革命的烈火，燃遍全国。因此，他决定不惜一切代价，亲自“接见”全国各地的红卫兵，鼓动他们大造党内、外右派集团的反，全力支持他们进行全国大串连，造成“天下大乱”之势，借以把个人崇拜的造神运动推向新的高峰。</w:t>
      </w:r>
    </w:p>
    <w:tbl>
      <w:tblPr>
        <w:tblStyle w:val="2"/>
        <w:tblpPr w:leftFromText="180" w:rightFromText="180" w:vertAnchor="text" w:horzAnchor="page" w:tblpXSpec="center" w:tblpY="142"/>
        <w:tblW w:w="0" w:type="auto"/>
        <w:jc w:val="center"/>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Layout w:type="fixed"/>
        <w:tblCellMar>
          <w:top w:w="0" w:type="dxa"/>
          <w:left w:w="108" w:type="dxa"/>
          <w:bottom w:w="0" w:type="dxa"/>
          <w:right w:w="108" w:type="dxa"/>
        </w:tblCellMar>
      </w:tblPr>
      <w:tblGrid>
        <w:gridCol w:w="1604"/>
        <w:gridCol w:w="1604"/>
        <w:gridCol w:w="1604"/>
        <w:gridCol w:w="1604"/>
      </w:tblGrid>
      <w:tr>
        <w:tblPrEx>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CellMar>
            <w:top w:w="0" w:type="dxa"/>
            <w:left w:w="108" w:type="dxa"/>
            <w:bottom w:w="0" w:type="dxa"/>
            <w:right w:w="108" w:type="dxa"/>
          </w:tblCellMar>
        </w:tblPrEx>
        <w:trPr>
          <w:trHeight w:val="1091" w:hRule="atLeast"/>
          <w:jc w:val="center"/>
        </w:trPr>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32815" cy="648970"/>
                  <wp:effectExtent l="0" t="0" r="635" b="17780"/>
                  <wp:docPr id="3" name="图片 4"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9"/>
                          <pic:cNvPicPr>
                            <a:picLocks noChangeAspect="1"/>
                          </pic:cNvPicPr>
                        </pic:nvPicPr>
                        <pic:blipFill>
                          <a:blip r:embed="rId7"/>
                          <a:stretch>
                            <a:fillRect/>
                          </a:stretch>
                        </pic:blipFill>
                        <pic:spPr>
                          <a:xfrm>
                            <a:off x="0" y="0"/>
                            <a:ext cx="932815" cy="64897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32815" cy="576580"/>
                  <wp:effectExtent l="0" t="0" r="635" b="13970"/>
                  <wp:docPr id="1" name="图片 5" descr="11、袖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11、袖标"/>
                          <pic:cNvPicPr>
                            <a:picLocks noChangeAspect="1"/>
                          </pic:cNvPicPr>
                        </pic:nvPicPr>
                        <pic:blipFill>
                          <a:blip r:embed="rId8"/>
                          <a:stretch>
                            <a:fillRect/>
                          </a:stretch>
                        </pic:blipFill>
                        <pic:spPr>
                          <a:xfrm>
                            <a:off x="0" y="0"/>
                            <a:ext cx="932815" cy="57658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914400" cy="731520"/>
                  <wp:effectExtent l="0" t="0" r="0" b="11430"/>
                  <wp:docPr id="2" name="图片 6" descr="10、袖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10、袖标"/>
                          <pic:cNvPicPr>
                            <a:picLocks noChangeAspect="1"/>
                          </pic:cNvPicPr>
                        </pic:nvPicPr>
                        <pic:blipFill>
                          <a:blip r:embed="rId9"/>
                          <a:stretch>
                            <a:fillRect/>
                          </a:stretch>
                        </pic:blipFill>
                        <pic:spPr>
                          <a:xfrm>
                            <a:off x="0" y="0"/>
                            <a:ext cx="914400" cy="731520"/>
                          </a:xfrm>
                          <a:prstGeom prst="rect">
                            <a:avLst/>
                          </a:prstGeom>
                          <a:noFill/>
                          <a:ln>
                            <a:noFill/>
                          </a:ln>
                        </pic:spPr>
                      </pic:pic>
                    </a:graphicData>
                  </a:graphic>
                </wp:inline>
              </w:drawing>
            </w:r>
          </w:p>
        </w:tc>
        <w:tc>
          <w:tcPr>
            <w:tcW w:w="1604" w:type="dxa"/>
            <w:tcBorders>
              <w:bottom w:val="single" w:color="auto" w:sz="4" w:space="0"/>
            </w:tcBorders>
            <w:noWrap w:val="0"/>
            <w:vAlign w:val="center"/>
          </w:tcPr>
          <w:p>
            <w:pPr>
              <w:jc w:val="left"/>
              <w:rPr>
                <w:rFonts w:hint="eastAsia"/>
              </w:rPr>
            </w:pPr>
            <w:r>
              <w:rPr>
                <w:rFonts w:hint="eastAsia"/>
              </w:rPr>
              <w:drawing>
                <wp:inline distT="0" distB="0" distL="114300" distR="114300">
                  <wp:extent cx="897255" cy="387350"/>
                  <wp:effectExtent l="0" t="0" r="17145" b="12700"/>
                  <wp:docPr id="5"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12"/>
                          <pic:cNvPicPr>
                            <a:picLocks noChangeAspect="1"/>
                          </pic:cNvPicPr>
                        </pic:nvPicPr>
                        <pic:blipFill>
                          <a:blip r:embed="rId10"/>
                          <a:stretch>
                            <a:fillRect/>
                          </a:stretch>
                        </pic:blipFill>
                        <pic:spPr>
                          <a:xfrm>
                            <a:off x="0" y="0"/>
                            <a:ext cx="897255" cy="387350"/>
                          </a:xfrm>
                          <a:prstGeom prst="rect">
                            <a:avLst/>
                          </a:prstGeom>
                          <a:noFill/>
                          <a:ln>
                            <a:noFill/>
                          </a:ln>
                        </pic:spPr>
                      </pic:pic>
                    </a:graphicData>
                  </a:graphic>
                </wp:inline>
              </w:drawing>
            </w:r>
          </w:p>
        </w:tc>
      </w:tr>
      <w:tr>
        <w:tblPrEx>
          <w:tblBorders>
            <w:top w:val="triple" w:color="auto" w:sz="4" w:space="0"/>
            <w:left w:val="triple" w:color="auto" w:sz="4" w:space="0"/>
            <w:bottom w:val="triple" w:color="auto" w:sz="4" w:space="0"/>
            <w:right w:val="triple" w:color="auto" w:sz="4" w:space="0"/>
            <w:insideH w:val="none" w:color="auto" w:sz="0" w:space="0"/>
            <w:insideV w:val="dashSmallGap" w:color="auto" w:sz="4" w:space="0"/>
          </w:tblBorders>
          <w:tblCellMar>
            <w:top w:w="0" w:type="dxa"/>
            <w:left w:w="108" w:type="dxa"/>
            <w:bottom w:w="0" w:type="dxa"/>
            <w:right w:w="108" w:type="dxa"/>
          </w:tblCellMar>
        </w:tblPrEx>
        <w:trPr>
          <w:trHeight w:val="345" w:hRule="atLeast"/>
          <w:jc w:val="center"/>
        </w:trPr>
        <w:tc>
          <w:tcPr>
            <w:tcW w:w="6414" w:type="dxa"/>
            <w:gridSpan w:val="4"/>
            <w:tcBorders>
              <w:top w:val="single" w:color="auto" w:sz="4" w:space="0"/>
            </w:tcBorders>
            <w:noWrap w:val="0"/>
            <w:vAlign w:val="center"/>
          </w:tcPr>
          <w:p>
            <w:pPr>
              <w:jc w:val="center"/>
              <w:rPr>
                <w:rFonts w:hint="eastAsia"/>
              </w:rPr>
            </w:pPr>
            <w:r>
              <w:rPr>
                <w:rFonts w:hint="eastAsia" w:ascii="宋体" w:hAnsi="宋体"/>
                <w:color w:val="000000"/>
                <w:sz w:val="18"/>
                <w:szCs w:val="18"/>
              </w:rPr>
              <w:t>红卫兵造反派袖标和胸章</w:t>
            </w:r>
          </w:p>
        </w:tc>
      </w:tr>
    </w:tbl>
    <w:p>
      <w:pPr>
        <w:jc w:val="left"/>
        <w:rPr>
          <w:rFonts w:hint="eastAsia" w:ascii="宋体" w:hAnsi="宋体"/>
          <w:color w:val="000000"/>
          <w:szCs w:val="21"/>
        </w:rPr>
      </w:pPr>
    </w:p>
    <w:p>
      <w:pPr>
        <w:jc w:val="left"/>
        <w:rPr>
          <w:rFonts w:hint="eastAsia"/>
        </w:rPr>
      </w:pPr>
      <w:r>
        <w:rPr>
          <w:rFonts w:hint="eastAsia"/>
        </w:rPr>
        <w:t xml:space="preserve">    </w:t>
      </w:r>
    </w:p>
    <w:p>
      <w:pPr>
        <w:jc w:val="left"/>
        <w:rPr>
          <w:rFonts w:hint="eastAsia"/>
        </w:rPr>
      </w:pPr>
    </w:p>
    <w:p>
      <w:pPr>
        <w:jc w:val="left"/>
        <w:rPr>
          <w:rFonts w:hint="eastAsia"/>
        </w:rPr>
      </w:pPr>
    </w:p>
    <w:p>
      <w:pPr>
        <w:jc w:val="left"/>
        <w:rPr>
          <w:rFonts w:hint="eastAsia"/>
        </w:rPr>
      </w:pPr>
    </w:p>
    <w:p>
      <w:pPr>
        <w:jc w:val="left"/>
        <w:rPr>
          <w:rFonts w:hint="eastAsia"/>
        </w:rPr>
      </w:pPr>
    </w:p>
    <w:p>
      <w:pPr>
        <w:jc w:val="left"/>
        <w:rPr>
          <w:rFonts w:hint="eastAsia"/>
        </w:rPr>
      </w:pPr>
    </w:p>
    <w:p>
      <w:pPr>
        <w:ind w:firstLine="420" w:firstLineChars="200"/>
        <w:jc w:val="left"/>
        <w:rPr>
          <w:rFonts w:hint="eastAsia" w:ascii="宋体" w:hAnsi="宋体" w:cs="宋体"/>
          <w:szCs w:val="21"/>
        </w:rPr>
      </w:pPr>
      <w:r>
        <w:rPr>
          <w:rFonts w:hint="eastAsia" w:ascii="宋体" w:hAnsi="宋体" w:cs="宋体"/>
          <w:szCs w:val="21"/>
        </w:rPr>
        <w:t>“</w:t>
      </w:r>
      <w:r>
        <w:rPr>
          <w:rFonts w:hint="eastAsia" w:ascii="宋体" w:hAnsi="宋体" w:cs="宋体"/>
          <w:b/>
          <w:bCs/>
          <w:szCs w:val="21"/>
        </w:rPr>
        <w:t>与人斗其乐无穷</w:t>
      </w:r>
      <w:r>
        <w:rPr>
          <w:rFonts w:hint="eastAsia" w:ascii="宋体" w:hAnsi="宋体" w:cs="宋体"/>
          <w:szCs w:val="21"/>
        </w:rPr>
        <w:t>”的天才的毛泽东，利用青、少年人的弱点，适时地把红卫兵捆绑在他设计好的战车上，让他们为他冲锋陷阵，充当炮灰。打上权力烙印的红卫兵们，果然不负毛泽东的厚望，他们把造反的矛头对准了毛泽东憎恶的知识分子和压抑他们的党内右派官僚特权阶级集团，理所当然地把毛泽东推崇为他们的“</w:t>
      </w:r>
      <w:r>
        <w:rPr>
          <w:rFonts w:hint="eastAsia" w:ascii="宋体" w:hAnsi="宋体" w:cs="宋体"/>
          <w:b/>
          <w:bCs/>
          <w:szCs w:val="21"/>
        </w:rPr>
        <w:t>红司令</w:t>
      </w:r>
      <w:r>
        <w:rPr>
          <w:rFonts w:hint="eastAsia" w:ascii="宋体" w:hAnsi="宋体" w:cs="宋体"/>
          <w:szCs w:val="21"/>
        </w:rPr>
        <w:t>”！</w:t>
      </w:r>
    </w:p>
    <w:p>
      <w:pPr>
        <w:jc w:val="left"/>
        <w:rPr>
          <w:rFonts w:hint="eastAsia" w:ascii="宋体" w:hAnsi="宋体" w:cs="宋体"/>
          <w:szCs w:val="21"/>
        </w:rPr>
      </w:pPr>
      <w:r>
        <w:rPr>
          <w:rFonts w:hint="eastAsia" w:ascii="宋体" w:hAnsi="宋体" w:cs="宋体"/>
          <w:szCs w:val="21"/>
        </w:rPr>
        <w:t>　　</w:t>
      </w:r>
    </w:p>
    <w:p>
      <w:pPr>
        <w:ind w:firstLine="420" w:firstLineChars="200"/>
        <w:jc w:val="left"/>
        <w:rPr>
          <w:rFonts w:hint="eastAsia" w:ascii="宋体" w:hAnsi="宋体" w:cs="宋体"/>
          <w:szCs w:val="21"/>
        </w:rPr>
      </w:pPr>
      <w:r>
        <w:rPr>
          <w:rFonts w:hint="eastAsia" w:ascii="宋体" w:hAnsi="宋体" w:cs="宋体"/>
          <w:szCs w:val="21"/>
        </w:rPr>
        <w:t>在1957年反右中，毛泽东把胆敢给他、给中共各级官员提意见的人打成右派分子，并对其进行了无产阶级专政的残酷镇压；但九年后，他却来了个180度的大转弯，提出“造反有理”的口号，鼓动青年学生和工农群众起来造反，批斗中共各级党组织和大小官员。从反右到鼓动造反，使人们看到了毛泽东“</w:t>
      </w:r>
      <w:r>
        <w:rPr>
          <w:rFonts w:hint="eastAsia" w:ascii="宋体" w:hAnsi="宋体" w:cs="宋体"/>
          <w:b/>
          <w:bCs/>
          <w:szCs w:val="21"/>
        </w:rPr>
        <w:t>理无常是</w:t>
      </w:r>
      <w:r>
        <w:rPr>
          <w:rFonts w:hint="eastAsia" w:ascii="宋体" w:hAnsi="宋体" w:cs="宋体"/>
          <w:szCs w:val="21"/>
        </w:rPr>
        <w:t>”哲学的随意性，看到了他出尔反尔政治手腕的流痞性，从而使人们看到了他为保卫个人权力可以不择手段的卑劣人格，看到了他为保卫个人权力而制造出来的“无产阶级专政条件下继续革命理论”的荒谬性和欺骗性。毛泽东的所作所为，使汪达尔人望尘莫及，不能不令汪达尔亡魂隔洋兴叹曰：“后生可畏！”</w:t>
      </w:r>
    </w:p>
    <w:p>
      <w:bookmarkStart w:id="9" w:name="_GoBack"/>
    </w:p>
    <w:bookmarkEnd w:id="9"/>
    <w:p/>
    <w:p>
      <w:pPr>
        <w:jc w:val="left"/>
        <w:rPr>
          <w:rFonts w:hint="eastAsia" w:ascii="宋体" w:hAnsi="宋体" w:eastAsia="宋体" w:cs="宋体"/>
          <w:szCs w:val="21"/>
        </w:rPr>
      </w:pPr>
      <w:r>
        <w:rPr>
          <w:rFonts w:hint="eastAsia" w:ascii="楷体_GB2312" w:hAnsi="宋体" w:eastAsia="楷体_GB2312"/>
          <w:b/>
          <w:szCs w:val="21"/>
        </w:rPr>
        <w:t xml:space="preserve"> </w:t>
      </w:r>
      <w:r>
        <w:rPr>
          <w:rFonts w:hint="eastAsia" w:ascii="宋体" w:hAnsi="宋体" w:eastAsia="宋体" w:cs="宋体"/>
          <w:b/>
          <w:color w:val="000000"/>
          <w:szCs w:val="21"/>
        </w:rPr>
        <w:t>附</w:t>
      </w:r>
      <w:r>
        <w:rPr>
          <w:rFonts w:hint="eastAsia" w:ascii="宋体" w:hAnsi="宋体" w:eastAsia="宋体" w:cs="宋体"/>
          <w:b/>
          <w:szCs w:val="21"/>
        </w:rPr>
        <w:t>1、汪达尔主义</w:t>
      </w:r>
      <w:r>
        <w:rPr>
          <w:rFonts w:hint="eastAsia" w:ascii="宋体" w:hAnsi="宋体" w:eastAsia="宋体" w:cs="宋体"/>
          <w:szCs w:val="21"/>
        </w:rPr>
        <w:t xml:space="preserve">   </w:t>
      </w:r>
    </w:p>
    <w:p>
      <w:pPr>
        <w:ind w:firstLine="420" w:firstLineChars="200"/>
        <w:rPr>
          <w:rFonts w:hint="eastAsia" w:ascii="宋体" w:hAnsi="宋体" w:eastAsia="宋体" w:cs="宋体"/>
        </w:rPr>
      </w:pPr>
      <w:r>
        <w:rPr>
          <w:rFonts w:hint="eastAsia" w:ascii="宋体" w:hAnsi="宋体" w:eastAsia="宋体" w:cs="宋体"/>
          <w:szCs w:val="21"/>
        </w:rPr>
        <w:t>汪达尔主义是五世纪汪达尔人的特有的精神状态和行为模式。</w:t>
      </w:r>
      <w:r>
        <w:rPr>
          <w:rFonts w:hint="eastAsia" w:ascii="宋体" w:hAnsi="宋体" w:eastAsia="宋体" w:cs="宋体"/>
          <w:b/>
          <w:bCs/>
          <w:szCs w:val="21"/>
        </w:rPr>
        <w:t>汪达尔人</w:t>
      </w:r>
      <w:r>
        <w:rPr>
          <w:rFonts w:hint="eastAsia" w:ascii="宋体" w:hAnsi="宋体" w:eastAsia="宋体" w:cs="宋体"/>
          <w:szCs w:val="21"/>
        </w:rPr>
        <w:t>原先居住于奥得河畔，后经潘诺尼亚（今匈牙利）、高卢和西班牙进入北非。439年，汪达尔人攻陷迦太基城，建立汪达尔王国。455年，汪达尔人渡海攻入罗马，疯狂烧杀抢掠：他们藐视文明世界尊重的东西，肆意破坏文明世界视为珍贵的文物艺术，罗马古文物因而遭到严重破坏。从此，</w:t>
      </w:r>
      <w:r>
        <w:rPr>
          <w:rFonts w:hint="eastAsia" w:ascii="宋体" w:hAnsi="宋体" w:eastAsia="宋体" w:cs="宋体"/>
          <w:b/>
          <w:szCs w:val="21"/>
        </w:rPr>
        <w:t>毁灭文化的“汪达尔主义”成了野蛮行为的同义语</w:t>
      </w:r>
      <w:r>
        <w:rPr>
          <w:rFonts w:hint="eastAsia" w:ascii="宋体" w:hAnsi="宋体" w:eastAsia="宋体" w:cs="宋体"/>
          <w:szCs w:val="21"/>
        </w:rPr>
        <w:t>。建国九十五年后，即534年，汪达尔王国为拜占廷所灭。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5D1709F"/>
    <w:rsid w:val="1A2076C3"/>
    <w:rsid w:val="39A349BF"/>
    <w:rsid w:val="55D1709F"/>
    <w:rsid w:val="7B753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 w:type="character" w:customStyle="1" w:styleId="6">
    <w:name w:val="swy1"/>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2024-01-07T13:11:00Z</dcterms:created>
  <dc:creator>Administrator</dc:creator>
  <cp:lastModifiedBy>Administrator</cp:lastModifiedBy>
  <dcterms:modified xsi:type="dcterms:W3CDTF">2024-01-09T13:24:51Z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612DECA9C06D44C78C39E2BFF4451130_11</vt:lpwstr>
  </property>
</Properties>
</file>