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Cs w:val="21"/>
        </w:rPr>
        <w:t>三忠于、四无限</w:t>
      </w:r>
    </w:p>
    <w:p>
      <w:pPr>
        <w:jc w:val="center"/>
        <w:rPr>
          <w:rFonts w:hint="eastAsia" w:ascii="宋体" w:hAnsi="宋体"/>
          <w:b/>
          <w:color w:val="000000"/>
          <w:szCs w:val="21"/>
        </w:rPr>
      </w:pPr>
    </w:p>
    <w:p>
      <w:pPr>
        <w:jc w:val="center"/>
        <w:rPr>
          <w:rFonts w:hint="eastAsia" w:ascii="宋体" w:hAnsi="宋体"/>
          <w:b w:val="0"/>
          <w:bCs/>
          <w:color w:val="000000"/>
          <w:szCs w:val="21"/>
          <w:lang w:val="en-US" w:eastAsia="zh-CN"/>
        </w:rPr>
      </w:pPr>
      <w:r>
        <w:rPr>
          <w:rFonts w:hint="eastAsia" w:ascii="宋体" w:hAnsi="宋体"/>
          <w:b w:val="0"/>
          <w:bCs/>
          <w:color w:val="000000"/>
          <w:szCs w:val="21"/>
          <w:lang w:eastAsia="zh-CN"/>
        </w:rPr>
        <w:t>作者</w:t>
      </w:r>
      <w:r>
        <w:rPr>
          <w:rFonts w:hint="eastAsia" w:ascii="宋体" w:hAnsi="宋体"/>
          <w:b w:val="0"/>
          <w:bCs/>
          <w:color w:val="000000"/>
          <w:szCs w:val="21"/>
          <w:lang w:val="en-US" w:eastAsia="zh-CN"/>
        </w:rPr>
        <w:t xml:space="preserve"> 于松然</w:t>
      </w:r>
    </w:p>
    <w:p>
      <w:pPr>
        <w:jc w:val="center"/>
        <w:rPr>
          <w:rFonts w:hint="default" w:ascii="宋体" w:hAnsi="宋体"/>
          <w:b w:val="0"/>
          <w:bCs/>
          <w:color w:val="000000"/>
          <w:szCs w:val="21"/>
          <w:lang w:val="en-US" w:eastAsia="zh-CN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在个人崇拜造神运动中，如果说“学雷锋”是用青少年造神，“学大庆”、“学大寨”是用工人和农民为大跃进、人民公社正名，“学解放军”是紧握军权，属第一波造神，那么，八次“接见”是毛</w:t>
      </w:r>
      <w:r>
        <w:rPr>
          <w:rFonts w:hint="eastAsia"/>
          <w:szCs w:val="21"/>
        </w:rPr>
        <w:t>泽东</w:t>
      </w:r>
      <w:r>
        <w:rPr>
          <w:rFonts w:hint="eastAsia" w:ascii="宋体" w:hAnsi="宋体"/>
          <w:color w:val="000000"/>
          <w:szCs w:val="21"/>
        </w:rPr>
        <w:t>亲自上阵，率领他的左右手、扈从和护驾，利用数千万红卫兵的造反精神造神，借以直接达到颠覆刘、邓右派官僚集团的目的，属第二波造神。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红卫兵的造神同造反密不可分：造神为了造反，造反强化造神。到了1967年，红卫兵</w:t>
      </w:r>
      <w:r>
        <w:rPr>
          <w:rFonts w:hint="eastAsia" w:ascii="宋体" w:hAnsi="宋体"/>
          <w:szCs w:val="21"/>
        </w:rPr>
        <w:t>演变为造反派</w:t>
      </w:r>
      <w:r>
        <w:rPr>
          <w:rFonts w:hint="eastAsia" w:ascii="宋体" w:hAnsi="宋体"/>
          <w:color w:val="000000"/>
          <w:szCs w:val="21"/>
        </w:rPr>
        <w:t>，也不可避免地出现了分裂。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红卫兵不辱使命。在“红司令”毛泽东的率领下，在林彪、周恩来、江青积极策划和督导下，逐渐形成了马列毛宗教行为规范的“三忠于、四无限”，即</w:t>
      </w:r>
      <w:r>
        <w:rPr>
          <w:rFonts w:hint="eastAsia"/>
          <w:b/>
          <w:bCs/>
        </w:rPr>
        <w:t>忠于毛主席，忠于毛泽东思想，忠于毛主席的无产阶级革命路线；无限热爱毛主席、无限信仰毛主席、无限崇拜毛主席、无限忠诚毛主席。</w:t>
      </w:r>
      <w:r>
        <w:rPr>
          <w:rFonts w:hint="eastAsia" w:ascii="宋体" w:hAnsi="宋体"/>
          <w:color w:val="000000"/>
          <w:szCs w:val="21"/>
        </w:rPr>
        <w:t>“三忠于、四无限”借助“忠字舞”、“语录歌”、“像章热”、“忠字台”、“万岁馆”等五彩缤纷的共产主义宗教形式，把中华大地打扮成了一个红海洋。</w:t>
      </w:r>
    </w:p>
    <w:p>
      <w:pPr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2" w:firstLineChars="200"/>
        <w:jc w:val="left"/>
        <w:rPr>
          <w:rFonts w:hint="eastAsia" w:ascii="宋体" w:hAnsi="宋体"/>
          <w:color w:val="000000"/>
          <w:sz w:val="18"/>
          <w:szCs w:val="18"/>
        </w:rPr>
      </w:pPr>
      <w:bookmarkStart w:id="0" w:name="第08章四、1"/>
      <w:bookmarkEnd w:id="0"/>
      <w:r>
        <w:rPr>
          <w:rFonts w:hint="eastAsia" w:ascii="宋体" w:hAnsi="宋体"/>
          <w:b/>
          <w:color w:val="000000"/>
          <w:szCs w:val="21"/>
        </w:rPr>
        <w:t>1.大跳“忠字舞”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据说，唐玄宗李隆基曾命乐工编导过忠字舞《圣寿乐》：宫女们身着五彩衣裙，舞姿婀娜，边唱边舞，敬祝皇帝万岁万万岁；终</w:t>
      </w:r>
      <w:r>
        <w:rPr>
          <w:rFonts w:hint="eastAsia" w:ascii="宋体" w:hAnsi="宋体"/>
          <w:szCs w:val="21"/>
        </w:rPr>
        <w:t>舞，</w:t>
      </w:r>
      <w:r>
        <w:rPr>
          <w:rFonts w:hint="eastAsia" w:ascii="宋体" w:hAnsi="宋体"/>
          <w:color w:val="000000"/>
          <w:szCs w:val="21"/>
        </w:rPr>
        <w:t>躺身于地，组成“万岁”二字图案</w:t>
      </w:r>
      <w:r>
        <w:rPr>
          <w:rFonts w:hint="eastAsia" w:ascii="宋体" w:hAnsi="宋体"/>
          <w:szCs w:val="21"/>
        </w:rPr>
        <w:t>。观后，玄宗龙颜大悦</w:t>
      </w:r>
      <w:r>
        <w:rPr>
          <w:rFonts w:hint="eastAsia" w:ascii="宋体" w:hAnsi="宋体"/>
          <w:color w:val="000000"/>
          <w:szCs w:val="21"/>
        </w:rPr>
        <w:t>。一千二百多年后的1966年到1968年，为敬祝毛主席万寿无疆、敬祝林副主席永远健康的“忠字舞”，跳遍了全国城市和乡村，其规模和创意，令在冥府的唐玄宗望舞兴叹，自愧弗如。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毛式“忠字舞”舞蹈语汇，大都来源于大型</w:t>
      </w:r>
      <w:r>
        <w:rPr>
          <w:szCs w:val="21"/>
        </w:rPr>
        <w:t>音乐</w:t>
      </w:r>
      <w:r>
        <w:rPr>
          <w:rFonts w:hint="eastAsia" w:ascii="宋体" w:hAnsi="宋体"/>
          <w:color w:val="000000"/>
          <w:szCs w:val="21"/>
        </w:rPr>
        <w:t>舞蹈史诗《东方红》。那是</w:t>
      </w:r>
      <w:r>
        <w:rPr>
          <w:rFonts w:hint="eastAsia" w:ascii="宋体" w:hAnsi="宋体"/>
          <w:b/>
          <w:szCs w:val="21"/>
        </w:rPr>
        <w:t>周恩来</w:t>
      </w:r>
      <w:r>
        <w:rPr>
          <w:rFonts w:hint="eastAsia" w:ascii="宋体" w:hAnsi="宋体"/>
          <w:color w:val="000000"/>
          <w:szCs w:val="21"/>
        </w:rPr>
        <w:t>直接导演下于1964年10月2日首次演出的“杰作”。舞蹈多以《大海航行靠舵手》、《敬爱的毛主席》和“语录歌”等歌曲伴唱、伴奏</w:t>
      </w:r>
      <w:r>
        <w:rPr>
          <w:rFonts w:hint="eastAsia" w:ascii="宋体" w:hAnsi="宋体"/>
          <w:szCs w:val="21"/>
        </w:rPr>
        <w:t>，掀起革命热情和制造崇拜氛围。</w:t>
      </w:r>
      <w:r>
        <w:rPr>
          <w:rFonts w:hint="eastAsia" w:ascii="宋体" w:hAnsi="宋体"/>
          <w:color w:val="000000"/>
          <w:szCs w:val="21"/>
        </w:rPr>
        <w:t>下列各图为常见的舞姿语汇。</w:t>
      </w:r>
      <w:r>
        <w:rPr>
          <w:rFonts w:hint="eastAsia" w:ascii="宋体" w:hAnsi="宋体"/>
          <w:szCs w:val="21"/>
        </w:rPr>
        <w:t>(</w:t>
      </w:r>
      <w:r>
        <w:rPr>
          <w:rFonts w:hint="eastAsia" w:ascii="宋体" w:hAnsi="宋体"/>
          <w:szCs w:val="21"/>
          <w:lang w:val="en-US" w:eastAsia="zh-CN"/>
        </w:rPr>
        <w:t>下</w:t>
      </w:r>
      <w:r>
        <w:rPr>
          <w:rFonts w:hint="eastAsia" w:ascii="宋体" w:hAnsi="宋体"/>
          <w:szCs w:val="21"/>
        </w:rPr>
        <w:t>图</w:t>
      </w:r>
      <w:r>
        <w:rPr>
          <w:rFonts w:hint="eastAsia" w:ascii="宋体" w:hAnsi="宋体"/>
          <w:color w:val="000000"/>
          <w:sz w:val="18"/>
          <w:szCs w:val="18"/>
        </w:rPr>
        <w:t>“忠字舞”</w:t>
      </w:r>
      <w:r>
        <w:rPr>
          <w:rFonts w:hint="eastAsia" w:ascii="宋体" w:hAnsi="宋体"/>
          <w:szCs w:val="21"/>
        </w:rPr>
        <w:t>)</w:t>
      </w:r>
    </w:p>
    <w:p>
      <w:pPr>
        <w:ind w:firstLine="360" w:firstLineChars="200"/>
        <w:jc w:val="center"/>
        <w:rPr>
          <w:rFonts w:hint="eastAsia" w:ascii="宋体" w:hAnsi="宋体"/>
          <w:color w:val="000000"/>
          <w:sz w:val="18"/>
          <w:szCs w:val="18"/>
        </w:rPr>
      </w:pPr>
    </w:p>
    <w:p>
      <w:pPr>
        <w:ind w:firstLine="360" w:firstLineChars="200"/>
        <w:jc w:val="center"/>
        <w:rPr>
          <w:rFonts w:hint="eastAsia" w:ascii="宋体" w:hAnsi="宋体" w:eastAsia="宋体"/>
          <w:color w:val="000000"/>
          <w:sz w:val="18"/>
          <w:szCs w:val="18"/>
          <w:lang w:eastAsia="zh-CN"/>
        </w:rPr>
      </w:pPr>
      <w:r>
        <w:rPr>
          <w:rFonts w:hint="eastAsia" w:ascii="宋体" w:hAnsi="宋体"/>
          <w:color w:val="000000"/>
          <w:sz w:val="18"/>
          <w:szCs w:val="18"/>
        </w:rPr>
        <w:t>“忠字舞”</w:t>
      </w:r>
      <w:r>
        <w:rPr>
          <w:rFonts w:hint="eastAsia" w:ascii="宋体" w:hAnsi="宋体"/>
          <w:color w:val="000000"/>
          <w:sz w:val="18"/>
          <w:szCs w:val="18"/>
          <w:lang w:eastAsia="zh-CN"/>
        </w:rPr>
        <w:t>形形色色</w:t>
      </w:r>
    </w:p>
    <w:tbl>
      <w:tblPr>
        <w:tblStyle w:val="2"/>
        <w:tblW w:w="6563" w:type="dxa"/>
        <w:jc w:val="center"/>
        <w:tblBorders>
          <w:top w:val="triple" w:color="auto" w:sz="4" w:space="0"/>
          <w:left w:val="triple" w:color="auto" w:sz="4" w:space="0"/>
          <w:bottom w:val="triple" w:color="auto" w:sz="4" w:space="0"/>
          <w:right w:val="triple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59"/>
        <w:gridCol w:w="2005"/>
        <w:gridCol w:w="2399"/>
      </w:tblGrid>
      <w:tr>
        <w:tblPrEx>
          <w:tblBorders>
            <w:top w:val="triple" w:color="auto" w:sz="4" w:space="0"/>
            <w:left w:val="triple" w:color="auto" w:sz="4" w:space="0"/>
            <w:bottom w:val="triple" w:color="auto" w:sz="4" w:space="0"/>
            <w:right w:val="triple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7" w:hRule="atLeast"/>
          <w:jc w:val="center"/>
        </w:trPr>
        <w:tc>
          <w:tcPr>
            <w:tcW w:w="2159" w:type="dxa"/>
            <w:noWrap w:val="0"/>
            <w:vAlign w:val="top"/>
          </w:tcPr>
          <w:p>
            <w:pPr>
              <w:snapToGrid w:val="0"/>
              <w:contextualSpacing/>
              <w:jc w:val="center"/>
              <w:rPr>
                <w:rFonts w:hint="eastAsia" w:ascii="宋体" w:hAnsi="宋体"/>
                <w:color w:val="000000"/>
                <w:sz w:val="15"/>
                <w:szCs w:val="15"/>
              </w:rPr>
            </w:pPr>
            <w:r>
              <w:rPr>
                <w:rFonts w:hint="eastAsia" w:ascii="宋体" w:hAnsi="宋体"/>
                <w:color w:val="000000"/>
                <w:sz w:val="15"/>
                <w:szCs w:val="15"/>
              </w:rPr>
              <w:drawing>
                <wp:inline distT="0" distB="0" distL="114300" distR="114300">
                  <wp:extent cx="1282700" cy="1105535"/>
                  <wp:effectExtent l="0" t="0" r="12700" b="18415"/>
                  <wp:docPr id="41" name="图片 1" descr="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图片 1" descr="5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2700" cy="1105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napToGrid w:val="0"/>
              <w:contextualSpacing/>
              <w:jc w:val="center"/>
              <w:rPr>
                <w:rFonts w:hint="eastAsia" w:ascii="宋体" w:hAnsi="宋体"/>
                <w:color w:val="000000"/>
                <w:sz w:val="15"/>
                <w:szCs w:val="15"/>
              </w:rPr>
            </w:pPr>
            <w:r>
              <w:rPr>
                <w:rFonts w:hint="eastAsia" w:ascii="宋体" w:hAnsi="宋体"/>
                <w:color w:val="000000"/>
                <w:sz w:val="15"/>
                <w:szCs w:val="15"/>
              </w:rPr>
              <w:t>永远跟着毛主席，永远跟着共产党!</w:t>
            </w:r>
          </w:p>
        </w:tc>
        <w:tc>
          <w:tcPr>
            <w:tcW w:w="2005" w:type="dxa"/>
            <w:noWrap w:val="0"/>
            <w:vAlign w:val="top"/>
          </w:tcPr>
          <w:p>
            <w:pPr>
              <w:snapToGrid w:val="0"/>
              <w:contextualSpacing/>
              <w:jc w:val="center"/>
              <w:rPr>
                <w:rFonts w:hint="eastAsia" w:ascii="宋体" w:hAnsi="宋体"/>
                <w:color w:val="000000"/>
                <w:sz w:val="15"/>
                <w:szCs w:val="15"/>
              </w:rPr>
            </w:pPr>
            <w:r>
              <w:rPr>
                <w:rFonts w:hint="eastAsia" w:ascii="宋体" w:hAnsi="宋体"/>
                <w:color w:val="000000"/>
                <w:sz w:val="15"/>
                <w:szCs w:val="15"/>
              </w:rPr>
              <w:drawing>
                <wp:inline distT="0" distB="0" distL="114300" distR="114300">
                  <wp:extent cx="1268730" cy="1005840"/>
                  <wp:effectExtent l="0" t="0" r="7620" b="3810"/>
                  <wp:docPr id="32" name="图片 2" descr="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图片 2" descr="5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730" cy="1005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napToGrid w:val="0"/>
              <w:contextualSpacing/>
              <w:jc w:val="center"/>
              <w:rPr>
                <w:rFonts w:hint="eastAsia" w:ascii="宋体" w:hAnsi="宋体"/>
                <w:color w:val="000000"/>
                <w:sz w:val="15"/>
                <w:szCs w:val="15"/>
              </w:rPr>
            </w:pPr>
            <w:r>
              <w:rPr>
                <w:rFonts w:hint="eastAsia" w:ascii="宋体" w:hAnsi="宋体"/>
                <w:color w:val="000000"/>
                <w:sz w:val="15"/>
                <w:szCs w:val="15"/>
              </w:rPr>
              <w:t>毛主席革命文艺路线胜利万岁！</w:t>
            </w:r>
          </w:p>
        </w:tc>
        <w:tc>
          <w:tcPr>
            <w:tcW w:w="2399" w:type="dxa"/>
            <w:noWrap w:val="0"/>
            <w:vAlign w:val="top"/>
          </w:tcPr>
          <w:p>
            <w:pPr>
              <w:snapToGrid w:val="0"/>
              <w:contextualSpacing/>
              <w:jc w:val="center"/>
              <w:rPr>
                <w:rFonts w:hint="eastAsia" w:ascii="宋体" w:hAnsi="宋体"/>
                <w:color w:val="000000"/>
                <w:sz w:val="15"/>
                <w:szCs w:val="15"/>
              </w:rPr>
            </w:pPr>
            <w:r>
              <w:rPr>
                <w:rFonts w:hint="eastAsia" w:ascii="宋体" w:hAnsi="宋体"/>
                <w:color w:val="000000"/>
                <w:sz w:val="15"/>
                <w:szCs w:val="15"/>
              </w:rPr>
              <w:drawing>
                <wp:inline distT="0" distB="0" distL="114300" distR="114300">
                  <wp:extent cx="1507490" cy="1112520"/>
                  <wp:effectExtent l="0" t="0" r="16510" b="11430"/>
                  <wp:docPr id="17" name="图片 3" descr="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 3" descr="5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7490" cy="1112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napToGrid w:val="0"/>
              <w:contextualSpacing/>
              <w:jc w:val="center"/>
              <w:rPr>
                <w:rFonts w:hint="eastAsia" w:ascii="宋体" w:hAnsi="宋体"/>
                <w:color w:val="000000"/>
                <w:sz w:val="15"/>
                <w:szCs w:val="15"/>
              </w:rPr>
            </w:pPr>
            <w:r>
              <w:rPr>
                <w:rFonts w:hint="eastAsia" w:ascii="宋体" w:hAnsi="宋体"/>
                <w:color w:val="000000"/>
                <w:sz w:val="15"/>
                <w:szCs w:val="15"/>
              </w:rPr>
              <w:t>敬爱的毛主席，我们心中的红太阳！</w:t>
            </w:r>
          </w:p>
        </w:tc>
      </w:tr>
      <w:tr>
        <w:tblPrEx>
          <w:tblBorders>
            <w:top w:val="triple" w:color="auto" w:sz="4" w:space="0"/>
            <w:left w:val="triple" w:color="auto" w:sz="4" w:space="0"/>
            <w:bottom w:val="triple" w:color="auto" w:sz="4" w:space="0"/>
            <w:right w:val="triple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7" w:hRule="atLeast"/>
          <w:jc w:val="center"/>
        </w:trPr>
        <w:tc>
          <w:tcPr>
            <w:tcW w:w="2159" w:type="dxa"/>
            <w:noWrap w:val="0"/>
            <w:vAlign w:val="top"/>
          </w:tcPr>
          <w:p>
            <w:pPr>
              <w:snapToGrid w:val="0"/>
              <w:contextualSpacing/>
              <w:jc w:val="center"/>
              <w:rPr>
                <w:rFonts w:hint="eastAsia" w:ascii="宋体" w:hAnsi="宋体"/>
                <w:color w:val="000000"/>
                <w:sz w:val="15"/>
                <w:szCs w:val="15"/>
              </w:rPr>
            </w:pPr>
            <w:r>
              <w:rPr>
                <w:rFonts w:hint="eastAsia" w:ascii="宋体" w:hAnsi="宋体"/>
                <w:color w:val="000000"/>
                <w:sz w:val="15"/>
                <w:szCs w:val="15"/>
              </w:rPr>
              <w:drawing>
                <wp:inline distT="0" distB="0" distL="114300" distR="114300">
                  <wp:extent cx="1312545" cy="1016635"/>
                  <wp:effectExtent l="0" t="0" r="1905" b="12065"/>
                  <wp:docPr id="34" name="图片 4" descr="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图片 4" descr="5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2545" cy="1016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napToGrid w:val="0"/>
              <w:contextualSpacing/>
              <w:jc w:val="center"/>
              <w:rPr>
                <w:rFonts w:hint="eastAsia" w:ascii="宋体" w:hAnsi="宋体"/>
                <w:color w:val="000000"/>
                <w:sz w:val="15"/>
                <w:szCs w:val="15"/>
              </w:rPr>
            </w:pPr>
            <w:r>
              <w:rPr>
                <w:rFonts w:hint="eastAsia" w:ascii="宋体" w:hAnsi="宋体"/>
                <w:color w:val="000000"/>
                <w:sz w:val="15"/>
                <w:szCs w:val="15"/>
              </w:rPr>
              <w:t>敬爱的毛主席，全世界人民想念你！</w:t>
            </w:r>
          </w:p>
        </w:tc>
        <w:tc>
          <w:tcPr>
            <w:tcW w:w="2005" w:type="dxa"/>
            <w:noWrap w:val="0"/>
            <w:vAlign w:val="top"/>
          </w:tcPr>
          <w:p>
            <w:pPr>
              <w:snapToGrid w:val="0"/>
              <w:contextualSpacing/>
              <w:jc w:val="center"/>
              <w:rPr>
                <w:rFonts w:hint="eastAsia" w:ascii="宋体" w:hAnsi="宋体"/>
                <w:color w:val="000000"/>
                <w:sz w:val="15"/>
                <w:szCs w:val="15"/>
              </w:rPr>
            </w:pPr>
            <w:r>
              <w:rPr>
                <w:rFonts w:hint="eastAsia" w:ascii="宋体" w:hAnsi="宋体"/>
                <w:color w:val="000000"/>
                <w:sz w:val="15"/>
                <w:szCs w:val="15"/>
              </w:rPr>
              <w:drawing>
                <wp:inline distT="0" distB="0" distL="114300" distR="114300">
                  <wp:extent cx="1199515" cy="1102995"/>
                  <wp:effectExtent l="0" t="0" r="635" b="1905"/>
                  <wp:docPr id="42" name="图片 5" descr="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图片 5" descr="5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9515" cy="1102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napToGrid w:val="0"/>
              <w:contextualSpacing/>
              <w:jc w:val="center"/>
              <w:rPr>
                <w:rFonts w:hint="eastAsia" w:ascii="宋体" w:hAnsi="宋体"/>
                <w:color w:val="000000"/>
                <w:sz w:val="15"/>
                <w:szCs w:val="15"/>
              </w:rPr>
            </w:pPr>
            <w:r>
              <w:rPr>
                <w:rFonts w:hint="eastAsia" w:ascii="宋体" w:hAnsi="宋体"/>
                <w:color w:val="000000"/>
                <w:sz w:val="15"/>
                <w:szCs w:val="15"/>
              </w:rPr>
              <w:t>红小兵，志气大，牛鬼蛇神全不怕！</w:t>
            </w:r>
          </w:p>
        </w:tc>
        <w:tc>
          <w:tcPr>
            <w:tcW w:w="2399" w:type="dxa"/>
            <w:noWrap w:val="0"/>
            <w:vAlign w:val="top"/>
          </w:tcPr>
          <w:p>
            <w:pPr>
              <w:snapToGrid w:val="0"/>
              <w:contextualSpacing/>
              <w:jc w:val="center"/>
              <w:rPr>
                <w:rFonts w:hint="eastAsia" w:ascii="宋体" w:hAnsi="宋体"/>
                <w:color w:val="000000"/>
                <w:sz w:val="15"/>
                <w:szCs w:val="15"/>
              </w:rPr>
            </w:pPr>
            <w:r>
              <w:rPr>
                <w:rFonts w:hint="eastAsia" w:ascii="宋体" w:hAnsi="宋体"/>
                <w:color w:val="000000"/>
                <w:sz w:val="15"/>
                <w:szCs w:val="15"/>
              </w:rPr>
              <w:drawing>
                <wp:inline distT="0" distB="0" distL="114300" distR="114300">
                  <wp:extent cx="1464310" cy="1035685"/>
                  <wp:effectExtent l="0" t="0" r="2540" b="12065"/>
                  <wp:docPr id="15" name="图片 6" descr="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6" descr="5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4310" cy="1035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napToGrid w:val="0"/>
              <w:contextualSpacing/>
              <w:jc w:val="center"/>
              <w:rPr>
                <w:rFonts w:hint="eastAsia" w:ascii="宋体" w:hAnsi="宋体"/>
                <w:color w:val="000000"/>
                <w:sz w:val="15"/>
                <w:szCs w:val="15"/>
              </w:rPr>
            </w:pPr>
            <w:r>
              <w:rPr>
                <w:rFonts w:hint="eastAsia" w:ascii="宋体" w:hAnsi="宋体"/>
                <w:color w:val="000000"/>
                <w:sz w:val="15"/>
                <w:szCs w:val="15"/>
              </w:rPr>
              <w:t>《毛主席语录》发给咱，毛主席就在咱身边！</w:t>
            </w:r>
          </w:p>
        </w:tc>
      </w:tr>
      <w:tr>
        <w:tblPrEx>
          <w:tblBorders>
            <w:top w:val="triple" w:color="auto" w:sz="4" w:space="0"/>
            <w:left w:val="triple" w:color="auto" w:sz="4" w:space="0"/>
            <w:bottom w:val="triple" w:color="auto" w:sz="4" w:space="0"/>
            <w:right w:val="triple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9" w:hRule="atLeast"/>
          <w:jc w:val="center"/>
        </w:trPr>
        <w:tc>
          <w:tcPr>
            <w:tcW w:w="2159" w:type="dxa"/>
            <w:noWrap w:val="0"/>
            <w:vAlign w:val="top"/>
          </w:tcPr>
          <w:p>
            <w:pPr>
              <w:snapToGrid w:val="0"/>
              <w:contextualSpacing/>
              <w:jc w:val="center"/>
              <w:rPr>
                <w:rFonts w:hint="eastAsia" w:ascii="宋体" w:hAnsi="宋体"/>
                <w:color w:val="000000"/>
                <w:sz w:val="15"/>
                <w:szCs w:val="15"/>
              </w:rPr>
            </w:pPr>
            <w:r>
              <w:rPr>
                <w:rFonts w:hint="eastAsia" w:ascii="宋体" w:hAnsi="宋体"/>
                <w:color w:val="000000"/>
                <w:sz w:val="15"/>
                <w:szCs w:val="15"/>
              </w:rPr>
              <w:drawing>
                <wp:inline distT="0" distB="0" distL="114300" distR="114300">
                  <wp:extent cx="1369060" cy="1198245"/>
                  <wp:effectExtent l="0" t="0" r="2540" b="1905"/>
                  <wp:docPr id="28" name="图片 7" descr="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图片 7" descr="5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9060" cy="1198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napToGrid w:val="0"/>
              <w:contextualSpacing/>
              <w:jc w:val="center"/>
              <w:rPr>
                <w:rFonts w:hint="eastAsia"/>
                <w:sz w:val="15"/>
                <w:szCs w:val="15"/>
              </w:rPr>
            </w:pPr>
            <w:r>
              <w:rPr>
                <w:rFonts w:hint="eastAsia"/>
                <w:sz w:val="15"/>
                <w:szCs w:val="15"/>
              </w:rPr>
              <w:t>革命师生齐造反，文化革命当闯将！忠于毛主席忠于党，刀山火海我敢闯！</w:t>
            </w:r>
          </w:p>
        </w:tc>
        <w:tc>
          <w:tcPr>
            <w:tcW w:w="2005" w:type="dxa"/>
            <w:noWrap w:val="0"/>
            <w:vAlign w:val="top"/>
          </w:tcPr>
          <w:p>
            <w:pPr>
              <w:snapToGrid w:val="0"/>
              <w:spacing w:line="160" w:lineRule="atLeast"/>
              <w:contextualSpacing/>
              <w:jc w:val="center"/>
              <w:rPr>
                <w:rFonts w:hint="eastAsia" w:ascii="宋体" w:hAnsi="宋体"/>
                <w:color w:val="000000"/>
                <w:sz w:val="15"/>
                <w:szCs w:val="15"/>
              </w:rPr>
            </w:pPr>
            <w:r>
              <w:rPr>
                <w:rFonts w:hint="eastAsia" w:ascii="宋体" w:hAnsi="宋体"/>
                <w:color w:val="000000"/>
                <w:sz w:val="15"/>
                <w:szCs w:val="15"/>
              </w:rPr>
              <w:drawing>
                <wp:inline distT="0" distB="0" distL="114300" distR="114300">
                  <wp:extent cx="1201420" cy="1074420"/>
                  <wp:effectExtent l="0" t="0" r="17780" b="11430"/>
                  <wp:docPr id="23" name="图片 8" descr="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图片 8" descr="5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1420" cy="1074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/>
                <w:color w:val="000000"/>
                <w:sz w:val="15"/>
                <w:szCs w:val="15"/>
              </w:rPr>
              <w:t>亲爱的毛主席，我们有多少贴心的话儿要对您讲，我有多少热情的歌儿要对您唱。</w:t>
            </w:r>
          </w:p>
        </w:tc>
        <w:tc>
          <w:tcPr>
            <w:tcW w:w="2399" w:type="dxa"/>
            <w:noWrap w:val="0"/>
            <w:vAlign w:val="top"/>
          </w:tcPr>
          <w:p>
            <w:pPr>
              <w:snapToGrid w:val="0"/>
              <w:contextualSpacing/>
              <w:jc w:val="center"/>
              <w:rPr>
                <w:rFonts w:hint="eastAsia" w:ascii="宋体" w:hAnsi="宋体"/>
                <w:color w:val="000000"/>
                <w:sz w:val="15"/>
                <w:szCs w:val="15"/>
              </w:rPr>
            </w:pPr>
            <w:r>
              <w:rPr>
                <w:rFonts w:hint="eastAsia" w:ascii="宋体" w:hAnsi="宋体"/>
                <w:color w:val="000000"/>
                <w:sz w:val="15"/>
                <w:szCs w:val="15"/>
              </w:rPr>
              <w:drawing>
                <wp:inline distT="0" distB="0" distL="114300" distR="114300">
                  <wp:extent cx="1468120" cy="1089025"/>
                  <wp:effectExtent l="0" t="0" r="17780" b="15875"/>
                  <wp:docPr id="37" name="图片 9" descr="文艺演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图片 9" descr="文艺演出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8120" cy="1089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napToGrid w:val="0"/>
              <w:contextualSpacing/>
              <w:jc w:val="center"/>
              <w:rPr>
                <w:rFonts w:hint="eastAsia" w:ascii="宋体" w:hAnsi="宋体"/>
                <w:color w:val="000000"/>
                <w:sz w:val="15"/>
                <w:szCs w:val="15"/>
              </w:rPr>
            </w:pPr>
            <w:r>
              <w:rPr>
                <w:rFonts w:hint="eastAsia" w:ascii="宋体" w:hAnsi="宋体"/>
                <w:color w:val="000000"/>
                <w:sz w:val="15"/>
                <w:szCs w:val="15"/>
              </w:rPr>
              <w:t>大海航行靠舵手，万物生长靠太阳，雨露滋润禾苗壮，干革命靠的是毛泽东思想！</w:t>
            </w:r>
          </w:p>
        </w:tc>
      </w:tr>
    </w:tbl>
    <w:p>
      <w:pPr>
        <w:snapToGrid w:val="0"/>
        <w:contextualSpacing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color w:val="000000"/>
          <w:szCs w:val="21"/>
        </w:rPr>
        <w:t>有人说，“忠字舞”动作有点像广播体操，舞姿僵直、生硬，有机械位移之感；</w:t>
      </w:r>
      <w:r>
        <w:rPr>
          <w:rFonts w:hint="eastAsia" w:ascii="宋体" w:hAnsi="宋体"/>
          <w:szCs w:val="21"/>
        </w:rPr>
        <w:t>虽舞蹈者身心洋溢着朝圣的庄严，激荡着革命的豪情，但舞姿粗糙、僵硬、稚拙，不能不让人顿生滑稽之感。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湖南人胡遐之曾以诗写照：“忠字舞，手应锣，脚应鼓，一声号令为军伍。忠字舞，心应鼓，口应锣，舞时更唱语录歌。忠字舞，狂且野，飙轮火被金光射；忠字舞，野且狂，舞兴浓处昼夜忘。左旋右转无已时，男女老少俱难辞。爹娘仆地儿孙赞，忠于领袖有何碍。曲终舞罢祝无疆，更有林总永健康！”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毛泽东死后，有人撰文批判“忠字舞”是偶像崇拜的形式主义，是荒诞愚昧的封建流毒，也有人说是林彪搞的政治阴谋，等等。笔者认为，前者“流毒”说尚能说得过去，后者“政治阴谋”说近乎胡说八道。如果“政治阴谋”说成立，“人民的好总理”周恩来则难逃其咎。</w:t>
      </w:r>
    </w:p>
    <w:p>
      <w:pPr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2" w:firstLineChars="200"/>
        <w:jc w:val="left"/>
        <w:rPr>
          <w:rFonts w:hint="eastAsia" w:ascii="宋体" w:hAnsi="宋体"/>
          <w:b/>
          <w:color w:val="000000"/>
          <w:szCs w:val="21"/>
        </w:rPr>
      </w:pPr>
      <w:bookmarkStart w:id="1" w:name="第08章四、2"/>
      <w:bookmarkEnd w:id="1"/>
      <w:r>
        <w:rPr>
          <w:rFonts w:hint="eastAsia" w:ascii="宋体" w:hAnsi="宋体"/>
          <w:b/>
          <w:color w:val="000000"/>
          <w:szCs w:val="21"/>
        </w:rPr>
        <w:t xml:space="preserve">2.大唱“语录歌”、革命歌和样板戏 </w:t>
      </w:r>
    </w:p>
    <w:p>
      <w:pPr>
        <w:ind w:firstLine="422" w:firstLineChars="200"/>
        <w:jc w:val="left"/>
        <w:rPr>
          <w:rFonts w:hint="eastAsia" w:ascii="宋体" w:hAnsi="宋体"/>
          <w:b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“语录歌”是根据毛泽东语录谱写的歌曲。1966年9月30日、10月12日和10月25日，《人民日报》连续三次以整版篇幅登载“语录歌”后，同类歌曲便大量涌现，充斥华夏。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“语录歌”的代表作有《领导我们事业的核心力量》、《争取胜利》、《因为我们是为人民服务的》、《我们共产党人》、《造反有理》、《世界是你们的》等。</w:t>
      </w:r>
      <w:r>
        <w:rPr>
          <w:rFonts w:hint="eastAsia" w:ascii="宋体" w:hAnsi="宋体"/>
          <w:szCs w:val="21"/>
        </w:rPr>
        <w:t>(</w:t>
      </w:r>
      <w:r>
        <w:rPr>
          <w:rFonts w:hint="eastAsia" w:ascii="宋体" w:hAnsi="宋体"/>
          <w:szCs w:val="21"/>
          <w:lang w:eastAsia="zh-CN"/>
        </w:rPr>
        <w:t>下</w:t>
      </w:r>
      <w:r>
        <w:rPr>
          <w:rFonts w:hint="eastAsia" w:ascii="宋体" w:hAnsi="宋体"/>
          <w:szCs w:val="21"/>
        </w:rPr>
        <w:t>图</w:t>
      </w:r>
      <w:r>
        <w:rPr>
          <w:rFonts w:hint="eastAsia" w:ascii="宋体" w:hAnsi="宋体"/>
          <w:szCs w:val="21"/>
          <w:lang w:eastAsia="zh-CN"/>
        </w:rPr>
        <w:t>：</w:t>
      </w:r>
      <w:r>
        <w:rPr>
          <w:rFonts w:hint="eastAsia" w:ascii="宋体" w:hAnsi="宋体"/>
          <w:sz w:val="18"/>
          <w:szCs w:val="18"/>
        </w:rPr>
        <w:t>大唱革命歌曲</w:t>
      </w:r>
      <w:r>
        <w:rPr>
          <w:rFonts w:hint="eastAsia" w:ascii="宋体" w:hAnsi="宋体"/>
          <w:szCs w:val="21"/>
        </w:rPr>
        <w:t>)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jc w:val="center"/>
        <w:rPr>
          <w:rFonts w:hint="eastAsia" w:ascii="宋体" w:hAnsi="宋体" w:eastAsia="宋体"/>
          <w:szCs w:val="21"/>
          <w:lang w:val="en-US" w:eastAsia="zh-CN"/>
        </w:rPr>
      </w:pPr>
      <w:r>
        <w:rPr>
          <w:rFonts w:hint="eastAsia" w:ascii="宋体" w:hAnsi="宋体"/>
          <w:sz w:val="18"/>
          <w:szCs w:val="18"/>
        </w:rPr>
        <w:t>大唱革命歌曲</w:t>
      </w:r>
      <w:r>
        <w:rPr>
          <w:rFonts w:hint="eastAsia" w:ascii="宋体" w:hAnsi="宋体"/>
          <w:sz w:val="18"/>
          <w:szCs w:val="18"/>
          <w:lang w:val="en-US" w:eastAsia="zh-CN"/>
        </w:rPr>
        <w:t>五花八门</w:t>
      </w:r>
    </w:p>
    <w:tbl>
      <w:tblPr>
        <w:tblStyle w:val="2"/>
        <w:tblW w:w="6466" w:type="dxa"/>
        <w:jc w:val="center"/>
        <w:tblBorders>
          <w:top w:val="triple" w:color="auto" w:sz="4" w:space="0"/>
          <w:left w:val="triple" w:color="auto" w:sz="4" w:space="0"/>
          <w:bottom w:val="triple" w:color="auto" w:sz="4" w:space="0"/>
          <w:right w:val="triple" w:color="auto" w:sz="4" w:space="0"/>
          <w:insideH w:val="none" w:color="auto" w:sz="0" w:space="0"/>
          <w:insideV w:val="wav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70"/>
        <w:gridCol w:w="2169"/>
        <w:gridCol w:w="2127"/>
      </w:tblGrid>
      <w:tr>
        <w:tblPrEx>
          <w:tblBorders>
            <w:top w:val="triple" w:color="auto" w:sz="4" w:space="0"/>
            <w:left w:val="triple" w:color="auto" w:sz="4" w:space="0"/>
            <w:bottom w:val="triple" w:color="auto" w:sz="4" w:space="0"/>
            <w:right w:val="triple" w:color="auto" w:sz="4" w:space="0"/>
            <w:insideH w:val="none" w:color="auto" w:sz="0" w:space="0"/>
            <w:insideV w:val="wav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1" w:hRule="atLeast"/>
          <w:jc w:val="center"/>
        </w:trPr>
        <w:tc>
          <w:tcPr>
            <w:tcW w:w="2170" w:type="dxa"/>
            <w:noWrap w:val="0"/>
            <w:vAlign w:val="top"/>
          </w:tcPr>
          <w:p>
            <w:pPr>
              <w:snapToGrid w:val="0"/>
              <w:contextualSpacing/>
              <w:jc w:val="left"/>
              <w:rPr>
                <w:rFonts w:hint="eastAsia" w:ascii="宋体" w:hAnsi="宋体"/>
                <w:color w:val="000000"/>
                <w:sz w:val="15"/>
                <w:szCs w:val="15"/>
              </w:rPr>
            </w:pPr>
            <w:r>
              <w:rPr>
                <w:rFonts w:hint="eastAsia" w:ascii="宋体" w:hAnsi="宋体"/>
                <w:color w:val="000000"/>
                <w:sz w:val="15"/>
                <w:szCs w:val="15"/>
              </w:rPr>
              <w:drawing>
                <wp:inline distT="0" distB="0" distL="114300" distR="114300">
                  <wp:extent cx="1258570" cy="1275080"/>
                  <wp:effectExtent l="0" t="0" r="17780" b="1270"/>
                  <wp:docPr id="12" name="图片 10" descr="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0" descr="5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8570" cy="1275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napToGrid w:val="0"/>
              <w:contextualSpacing/>
              <w:jc w:val="left"/>
              <w:rPr>
                <w:rFonts w:hint="eastAsia" w:ascii="宋体" w:hAnsi="宋体"/>
                <w:color w:val="000000"/>
                <w:sz w:val="15"/>
                <w:szCs w:val="15"/>
              </w:rPr>
            </w:pPr>
            <w:r>
              <w:rPr>
                <w:rFonts w:hint="eastAsia"/>
                <w:sz w:val="15"/>
                <w:szCs w:val="15"/>
              </w:rPr>
              <w:t>领导我们事业的核心力量是中国共产党，指导我们思想的理论基础是马克思列宁主义。</w:t>
            </w:r>
          </w:p>
        </w:tc>
        <w:tc>
          <w:tcPr>
            <w:tcW w:w="2169" w:type="dxa"/>
            <w:noWrap w:val="0"/>
            <w:vAlign w:val="top"/>
          </w:tcPr>
          <w:p>
            <w:pPr>
              <w:snapToGrid w:val="0"/>
              <w:contextualSpacing/>
              <w:jc w:val="left"/>
              <w:rPr>
                <w:rFonts w:hint="eastAsia" w:ascii="宋体" w:hAnsi="宋体"/>
                <w:color w:val="000000"/>
                <w:sz w:val="15"/>
                <w:szCs w:val="15"/>
              </w:rPr>
            </w:pPr>
          </w:p>
          <w:p>
            <w:pPr>
              <w:snapToGrid w:val="0"/>
              <w:contextualSpacing/>
              <w:jc w:val="left"/>
              <w:rPr>
                <w:rFonts w:hint="eastAsia" w:ascii="宋体" w:hAnsi="宋体"/>
                <w:color w:val="000000"/>
                <w:sz w:val="15"/>
                <w:szCs w:val="15"/>
              </w:rPr>
            </w:pPr>
            <w:r>
              <w:rPr>
                <w:rFonts w:hint="eastAsia" w:ascii="宋体" w:hAnsi="宋体"/>
                <w:color w:val="000000"/>
                <w:sz w:val="15"/>
                <w:szCs w:val="15"/>
              </w:rPr>
              <w:t>我们的共产党和共产党所领导的八路军和新四军是</w:t>
            </w:r>
            <w:r>
              <w:rPr>
                <w:rFonts w:hint="eastAsia" w:ascii="宋体" w:hAnsi="宋体"/>
                <w:color w:val="000000"/>
                <w:sz w:val="15"/>
                <w:szCs w:val="15"/>
              </w:rPr>
              <w:drawing>
                <wp:inline distT="0" distB="0" distL="114300" distR="114300">
                  <wp:extent cx="1295400" cy="1598295"/>
                  <wp:effectExtent l="0" t="0" r="0" b="1905"/>
                  <wp:docPr id="24" name="图片 11" descr="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图片 11" descr="5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159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/>
                <w:color w:val="000000"/>
                <w:sz w:val="15"/>
                <w:szCs w:val="15"/>
              </w:rPr>
              <w:t>革命的部伍，我们……</w:t>
            </w:r>
          </w:p>
        </w:tc>
        <w:tc>
          <w:tcPr>
            <w:tcW w:w="2127" w:type="dxa"/>
            <w:noWrap w:val="0"/>
            <w:vAlign w:val="top"/>
          </w:tcPr>
          <w:p>
            <w:pPr>
              <w:snapToGrid w:val="0"/>
              <w:contextualSpacing/>
              <w:jc w:val="left"/>
              <w:rPr>
                <w:rFonts w:hint="eastAsia" w:ascii="宋体" w:hAnsi="宋体"/>
                <w:color w:val="000000"/>
                <w:sz w:val="15"/>
                <w:szCs w:val="15"/>
              </w:rPr>
            </w:pPr>
            <w:r>
              <w:rPr>
                <w:rFonts w:hint="eastAsia" w:ascii="宋体" w:hAnsi="宋体"/>
                <w:color w:val="000000"/>
                <w:sz w:val="15"/>
                <w:szCs w:val="15"/>
              </w:rPr>
              <w:drawing>
                <wp:inline distT="0" distB="0" distL="114300" distR="114300">
                  <wp:extent cx="1323975" cy="1338580"/>
                  <wp:effectExtent l="0" t="0" r="9525" b="13970"/>
                  <wp:docPr id="22" name="图片 12" descr="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图片 12" descr="5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3975" cy="1338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napToGrid w:val="0"/>
              <w:contextualSpacing/>
              <w:jc w:val="left"/>
              <w:rPr>
                <w:rFonts w:hint="eastAsia" w:ascii="宋体" w:hAnsi="宋体"/>
                <w:color w:val="000000"/>
                <w:sz w:val="15"/>
                <w:szCs w:val="15"/>
              </w:rPr>
            </w:pPr>
            <w:r>
              <w:rPr>
                <w:rFonts w:hint="eastAsia"/>
                <w:sz w:val="15"/>
                <w:szCs w:val="15"/>
              </w:rPr>
              <w:t>下定决心，不怕牺牲，排除万难，去争取胜利！</w:t>
            </w:r>
            <w:r>
              <w:rPr>
                <w:rFonts w:hint="eastAsia" w:ascii="宋体" w:hAnsi="宋体"/>
                <w:color w:val="000000"/>
                <w:sz w:val="15"/>
                <w:szCs w:val="15"/>
              </w:rPr>
              <w:t>……</w:t>
            </w:r>
          </w:p>
        </w:tc>
      </w:tr>
    </w:tbl>
    <w:p>
      <w:pPr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color w:val="000000"/>
          <w:szCs w:val="21"/>
        </w:rPr>
        <w:t>据报导，最早组织部队音乐工作者为《老三篇》语录谱写歌曲的是《解放军报》和《解放军歌曲》编辑部。《老三篇》即《毛泽东选集》中的</w:t>
      </w:r>
      <w:r>
        <w:rPr>
          <w:rFonts w:hint="eastAsia"/>
          <w:color w:val="000000"/>
          <w:szCs w:val="21"/>
        </w:rPr>
        <w:t>《为人民服务》、《纪念白求恩》和《愚公移山》</w:t>
      </w:r>
      <w:r>
        <w:rPr>
          <w:rFonts w:hint="eastAsia" w:ascii="宋体" w:hAnsi="宋体"/>
          <w:color w:val="000000"/>
          <w:szCs w:val="21"/>
        </w:rPr>
        <w:t>三篇文章。著名作曲家</w:t>
      </w:r>
      <w:r>
        <w:rPr>
          <w:rFonts w:hint="eastAsia" w:ascii="宋体" w:hAnsi="宋体"/>
          <w:b/>
          <w:bCs/>
          <w:color w:val="000000"/>
          <w:szCs w:val="21"/>
        </w:rPr>
        <w:t>李劫夫</w:t>
      </w:r>
      <w:r>
        <w:rPr>
          <w:rFonts w:hint="eastAsia" w:ascii="宋体" w:hAnsi="宋体"/>
          <w:color w:val="000000"/>
          <w:szCs w:val="21"/>
        </w:rPr>
        <w:t>曾发过宏愿，要在有生之年把所有毛泽东语录谱成歌曲。据估计，约有1,000余段毛泽东语录被谱成了“语录歌”，林彪为颂扬毛泽东的《永远学习“老三篇”》也搀合其中。</w:t>
      </w:r>
      <w:r>
        <w:rPr>
          <w:rFonts w:hint="eastAsia" w:ascii="宋体" w:hAnsi="宋体"/>
          <w:szCs w:val="21"/>
        </w:rPr>
        <w:t>(</w:t>
      </w:r>
      <w:r>
        <w:rPr>
          <w:rFonts w:hint="eastAsia" w:ascii="宋体" w:hAnsi="宋体"/>
          <w:szCs w:val="21"/>
          <w:lang w:eastAsia="zh-CN"/>
        </w:rPr>
        <w:t>下</w:t>
      </w:r>
      <w:r>
        <w:rPr>
          <w:rFonts w:hint="eastAsia" w:ascii="宋体" w:hAnsi="宋体"/>
          <w:szCs w:val="21"/>
        </w:rPr>
        <w:t>图</w:t>
      </w:r>
      <w:r>
        <w:rPr>
          <w:rFonts w:hint="eastAsia" w:ascii="宋体" w:hAnsi="宋体"/>
          <w:szCs w:val="21"/>
          <w:lang w:eastAsia="zh-CN"/>
        </w:rPr>
        <w:t>：</w:t>
      </w:r>
      <w:r>
        <w:rPr>
          <w:rFonts w:hint="eastAsia" w:ascii="宋体" w:hAnsi="宋体"/>
          <w:sz w:val="18"/>
          <w:szCs w:val="18"/>
        </w:rPr>
        <w:t>大唱</w:t>
      </w:r>
      <w:r>
        <w:rPr>
          <w:rFonts w:hint="eastAsia" w:ascii="宋体" w:hAnsi="宋体"/>
          <w:sz w:val="18"/>
          <w:szCs w:val="18"/>
          <w:lang w:eastAsia="zh-CN"/>
        </w:rPr>
        <w:t>毛</w:t>
      </w:r>
      <w:r>
        <w:rPr>
          <w:rFonts w:hint="eastAsia" w:ascii="宋体" w:hAnsi="宋体"/>
          <w:color w:val="000000"/>
          <w:sz w:val="21"/>
          <w:szCs w:val="21"/>
        </w:rPr>
        <w:t>泽东</w:t>
      </w:r>
      <w:r>
        <w:rPr>
          <w:rFonts w:hint="eastAsia" w:ascii="宋体" w:hAnsi="宋体"/>
          <w:sz w:val="18"/>
          <w:szCs w:val="18"/>
          <w:lang w:eastAsia="zh-CN"/>
        </w:rPr>
        <w:t>语录</w:t>
      </w:r>
      <w:r>
        <w:rPr>
          <w:rFonts w:hint="eastAsia" w:ascii="宋体" w:hAnsi="宋体"/>
          <w:sz w:val="18"/>
          <w:szCs w:val="18"/>
        </w:rPr>
        <w:t>歌</w:t>
      </w:r>
      <w:r>
        <w:rPr>
          <w:rFonts w:hint="eastAsia" w:ascii="宋体" w:hAnsi="宋体"/>
          <w:szCs w:val="21"/>
        </w:rPr>
        <w:t>)</w:t>
      </w:r>
    </w:p>
    <w:p>
      <w:pPr>
        <w:ind w:firstLine="420" w:firstLineChars="200"/>
        <w:jc w:val="left"/>
        <w:rPr>
          <w:rFonts w:hint="eastAsia" w:ascii="宋体" w:hAnsi="宋体"/>
          <w:szCs w:val="21"/>
        </w:rPr>
      </w:pPr>
    </w:p>
    <w:tbl>
      <w:tblPr>
        <w:tblStyle w:val="2"/>
        <w:tblpPr w:leftFromText="180" w:rightFromText="180" w:vertAnchor="text" w:horzAnchor="margin" w:tblpXSpec="center" w:tblpY="137"/>
        <w:tblW w:w="0" w:type="auto"/>
        <w:jc w:val="center"/>
        <w:tblBorders>
          <w:top w:val="triple" w:color="auto" w:sz="4" w:space="0"/>
          <w:left w:val="triple" w:color="auto" w:sz="4" w:space="0"/>
          <w:bottom w:val="triple" w:color="auto" w:sz="4" w:space="0"/>
          <w:right w:val="triple" w:color="auto" w:sz="4" w:space="0"/>
          <w:insideH w:val="none" w:color="auto" w:sz="0" w:space="0"/>
          <w:insideV w:val="dotDash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7"/>
        <w:gridCol w:w="2241"/>
        <w:gridCol w:w="1943"/>
      </w:tblGrid>
      <w:tr>
        <w:tblPrEx>
          <w:tblBorders>
            <w:top w:val="triple" w:color="auto" w:sz="4" w:space="0"/>
            <w:left w:val="triple" w:color="auto" w:sz="4" w:space="0"/>
            <w:bottom w:val="triple" w:color="auto" w:sz="4" w:space="0"/>
            <w:right w:val="triple" w:color="auto" w:sz="4" w:space="0"/>
            <w:insideH w:val="none" w:color="auto" w:sz="0" w:space="0"/>
            <w:insideV w:val="dotDash" w:color="auto" w:sz="4" w:space="0"/>
          </w:tblBorders>
        </w:tblPrEx>
        <w:trPr>
          <w:trHeight w:val="2226" w:hRule="atLeast"/>
          <w:jc w:val="center"/>
        </w:trPr>
        <w:tc>
          <w:tcPr>
            <w:tcW w:w="2377" w:type="dxa"/>
            <w:noWrap w:val="0"/>
            <w:vAlign w:val="top"/>
          </w:tcPr>
          <w:p>
            <w:pPr>
              <w:jc w:val="right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drawing>
                <wp:inline distT="0" distB="0" distL="114300" distR="114300">
                  <wp:extent cx="1455420" cy="1300480"/>
                  <wp:effectExtent l="0" t="0" r="11430" b="13970"/>
                  <wp:docPr id="26" name="图片 13" descr="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图片 13" descr="8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5420" cy="1300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1" w:type="dxa"/>
            <w:noWrap w:val="0"/>
            <w:vAlign w:val="top"/>
          </w:tcPr>
          <w:p>
            <w:pPr>
              <w:jc w:val="left"/>
              <w:rPr>
                <w:rFonts w:hint="eastAsia" w:ascii="宋体" w:hAnsi="宋体"/>
                <w:color w:val="000000"/>
                <w:sz w:val="15"/>
                <w:szCs w:val="15"/>
              </w:rPr>
            </w:pPr>
            <w:r>
              <w:rPr>
                <w:rFonts w:hint="eastAsia" w:ascii="宋体" w:hAnsi="宋体"/>
                <w:color w:val="000000"/>
                <w:sz w:val="15"/>
                <w:szCs w:val="15"/>
              </w:rPr>
              <w:drawing>
                <wp:inline distT="0" distB="0" distL="114300" distR="114300">
                  <wp:extent cx="1301750" cy="1073150"/>
                  <wp:effectExtent l="0" t="0" r="12700" b="12700"/>
                  <wp:docPr id="19" name="图片 14" descr="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 14" descr="8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1750" cy="1073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  <w:rPr>
                <w:rFonts w:hint="eastAsia" w:ascii="宋体" w:hAnsi="宋体"/>
                <w:color w:val="000000"/>
                <w:sz w:val="15"/>
                <w:szCs w:val="15"/>
              </w:rPr>
            </w:pPr>
            <w:r>
              <w:rPr>
                <w:rFonts w:hint="eastAsia" w:ascii="宋体" w:hAnsi="宋体"/>
                <w:color w:val="000000"/>
                <w:sz w:val="15"/>
                <w:szCs w:val="15"/>
              </w:rPr>
              <w:t>图08-12：毛泽东“语录歌”</w:t>
            </w:r>
          </w:p>
        </w:tc>
        <w:tc>
          <w:tcPr>
            <w:tcW w:w="1943" w:type="dxa"/>
            <w:noWrap w:val="0"/>
            <w:vAlign w:val="top"/>
          </w:tcPr>
          <w:p>
            <w:pPr>
              <w:jc w:val="left"/>
              <w:rPr>
                <w:rFonts w:hint="eastAsia" w:ascii="宋体" w:hAnsi="宋体"/>
                <w:color w:val="000000"/>
                <w:sz w:val="15"/>
                <w:szCs w:val="15"/>
              </w:rPr>
            </w:pPr>
            <w:r>
              <w:rPr>
                <w:rFonts w:hint="eastAsia" w:ascii="宋体" w:hAnsi="宋体"/>
                <w:color w:val="000000"/>
                <w:sz w:val="15"/>
                <w:szCs w:val="15"/>
              </w:rPr>
              <w:drawing>
                <wp:inline distT="0" distB="0" distL="114300" distR="114300">
                  <wp:extent cx="1143000" cy="1080135"/>
                  <wp:effectExtent l="0" t="0" r="0" b="5715"/>
                  <wp:docPr id="29" name="图片 15" descr="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图片 15" descr="8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080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  <w:rPr>
                <w:rFonts w:hint="eastAsia" w:ascii="宋体" w:hAnsi="宋体"/>
                <w:color w:val="000000"/>
                <w:sz w:val="15"/>
                <w:szCs w:val="15"/>
              </w:rPr>
            </w:pPr>
            <w:r>
              <w:rPr>
                <w:rFonts w:hint="eastAsia" w:ascii="宋体" w:hAnsi="宋体"/>
                <w:color w:val="000000"/>
                <w:sz w:val="15"/>
                <w:szCs w:val="15"/>
              </w:rPr>
              <w:t>林彪语录歌搀合其中</w:t>
            </w:r>
          </w:p>
        </w:tc>
      </w:tr>
    </w:tbl>
    <w:p>
      <w:pPr>
        <w:ind w:firstLine="360" w:firstLineChars="200"/>
        <w:jc w:val="left"/>
        <w:rPr>
          <w:rFonts w:hint="eastAsia" w:ascii="宋体" w:hAnsi="宋体"/>
          <w:color w:val="000000"/>
          <w:sz w:val="18"/>
          <w:szCs w:val="18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戏剧界不敢落后，谱写了京剧《群众是真正的英雄》等“语录京剧”清唱。</w:t>
      </w:r>
    </w:p>
    <w:p>
      <w:pPr>
        <w:jc w:val="left"/>
        <w:rPr>
          <w:rFonts w:hint="eastAsia" w:ascii="宋体" w:hAnsi="宋体"/>
          <w:b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外国人也来凑热闹。《海内存知己，天涯若比邻》的“语录歌”，是由阿尔巴尼亚作曲家从毛泽东的《中国共产党中央委员会致阿尔巴尼亚劳动党第五次代表大会的贺电》中节选出来的一段话谱成的。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在毛泽东“接见”红卫兵过程中，中央音乐学院就主动地、有计划地教外地来京的红卫兵演唱“语录歌”。1966年底，在安徽省合肥市，工人红卫兵举行了一次毛主席语录歌曲演唱大会。从此，在会议前后，在早请示、晚汇报仪式上，在游行行列中，在广播电台和红卫兵高架的高音喇叭里，在列车行进中，在车站码头、工矿商店、军营机关、农村田野……到处都有响亮的“语录歌”歌声。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在那个时代，笔者在北大荒曾多次见过，在火车上、汽车上，大小会上、田间地头上，都有演唱“语录歌”活动。报纸、电台天天宣传说，广大工农兵群众和红卫兵，“</w:t>
      </w:r>
      <w:r>
        <w:rPr>
          <w:rFonts w:hint="eastAsia" w:ascii="宋体" w:hAnsi="宋体"/>
          <w:b/>
          <w:bCs/>
          <w:color w:val="000000"/>
          <w:szCs w:val="21"/>
        </w:rPr>
        <w:t>最爱唱毛主席语录歌。唱起毛主席语录歌，就想起毛主席，就想起毛主席的教导，就更觉得毛主席在我们身边。越唱毛主席语录歌，就越是心红眼亮，斗志昂扬。</w:t>
      </w:r>
      <w:r>
        <w:rPr>
          <w:rFonts w:hint="eastAsia" w:ascii="宋体" w:hAnsi="宋体"/>
          <w:color w:val="000000"/>
          <w:szCs w:val="21"/>
        </w:rPr>
        <w:t>”但在密山县农村中，笔者经常听到农民低声轻哼的曲调，大多还是“二人转”。</w:t>
      </w:r>
    </w:p>
    <w:p>
      <w:pPr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相对生命较长点的是“革命歌曲”，诸如《东方红》、《大海航行靠舵手》等。还有流行2～3年的《革命造反歌》。歌词是：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拿起笔，作刀枪，集中火力打黑帮。革命师生齐造反，文化革命当闯将！</w:t>
      </w:r>
    </w:p>
    <w:p>
      <w:pPr>
        <w:ind w:firstLine="210" w:firstLineChars="100"/>
        <w:rPr>
          <w:rFonts w:hint="eastAsia"/>
        </w:rPr>
      </w:pPr>
      <w:r>
        <w:rPr>
          <w:rFonts w:hint="eastAsia"/>
        </w:rPr>
        <w:t>忠于毛主席忠于党，刀山火海我敢闯。革命后代举红旗，主席思想放光芒！</w:t>
      </w:r>
    </w:p>
    <w:p>
      <w:pPr>
        <w:ind w:firstLine="210" w:firstLineChars="100"/>
        <w:rPr>
          <w:rFonts w:hint="eastAsia"/>
        </w:rPr>
      </w:pPr>
      <w:r>
        <w:rPr>
          <w:rFonts w:hint="eastAsia"/>
        </w:rPr>
        <w:t>歌唱毛主席歌唱党，党是我们亲爹娘。谁要敢说党不好，</w:t>
      </w:r>
      <w:r>
        <w:rPr>
          <w:rFonts w:hint="eastAsia"/>
          <w:color w:val="000000"/>
        </w:rPr>
        <w:t>马上</w:t>
      </w:r>
      <w:r>
        <w:rPr>
          <w:rFonts w:hint="eastAsia"/>
          <w:b/>
          <w:bCs/>
        </w:rPr>
        <w:t>叫他见阎王</w:t>
      </w:r>
      <w:r>
        <w:rPr>
          <w:rFonts w:hint="eastAsia"/>
        </w:rPr>
        <w:t>！</w:t>
      </w:r>
    </w:p>
    <w:p>
      <w:pPr>
        <w:ind w:firstLine="211" w:firstLineChars="100"/>
        <w:rPr>
          <w:rFonts w:hint="eastAsia"/>
        </w:rPr>
      </w:pPr>
      <w:r>
        <w:rPr>
          <w:rFonts w:hint="eastAsia"/>
          <w:b/>
          <w:bCs/>
        </w:rPr>
        <w:t>杀！杀！杀！</w:t>
      </w:r>
      <w:r>
        <w:rPr>
          <w:rFonts w:hint="eastAsia"/>
        </w:rPr>
        <w:t>嘿！</w:t>
      </w:r>
    </w:p>
    <w:p>
      <w:pPr>
        <w:ind w:firstLine="1050" w:firstLineChars="500"/>
        <w:rPr>
          <w:rFonts w:hint="eastAsia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据说《革命造反歌》初创于北大附中红旗战斗小组，定型于7月1日。当时北大附中，在海淀区各中等学校红卫兵集会上，演唱了此歌。自此，歌声飞出校园，在社会上广为传唱。遗憾的是，笔者当年处于“牛鬼蛇神”边缘，没有资格也没学唱这首歌；写本文之前，也没有找到它的曲谱。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</w:rPr>
      </w:pPr>
      <w:r>
        <w:rPr>
          <w:rFonts w:hint="eastAsia" w:ascii="宋体" w:hAnsi="宋体"/>
          <w:color w:val="000000"/>
          <w:szCs w:val="21"/>
        </w:rPr>
        <w:t>同《革命造反歌》相对的是《鬼嚎歌》：歌声凄凉、惨淡，像是从地狱传出来的。</w:t>
      </w:r>
      <w:r>
        <w:rPr>
          <w:rFonts w:hint="eastAsia"/>
        </w:rPr>
        <w:t>文革中，被打倒的黑帮、反动学术权威、走资派等“牛鬼蛇神”，在监管人员督促、逼迫下，都要学唱这首</w:t>
      </w:r>
      <w:r>
        <w:rPr>
          <w:rFonts w:hint="eastAsia" w:ascii="宋体" w:hAnsi="宋体"/>
          <w:color w:val="000000"/>
          <w:szCs w:val="21"/>
        </w:rPr>
        <w:t>《鬼嚎歌》</w:t>
      </w:r>
      <w:r>
        <w:rPr>
          <w:rFonts w:hint="eastAsia"/>
        </w:rPr>
        <w:t>。这是他们继戴高帽子、“坐喷气式飞机”、游街等毛式揪斗体罚后，进一步“触及灵魂”的“革命措施”，让已经完全丧失反抗能力的人们屈从于强权。人性的暴戾恣睢和卑鄙恶劣，尽在于斯。据说，许多大作家、学者，都曾受到这种惩罚。</w:t>
      </w:r>
    </w:p>
    <w:p>
      <w:pPr>
        <w:ind w:firstLine="420" w:firstLineChars="200"/>
        <w:jc w:val="left"/>
        <w:rPr>
          <w:rFonts w:hint="eastAsia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笔者一介无名小卒。但在清理阶级队伍中，由于有人怀疑父在台湾因而以“现行反革命罪”被揪斗，竟同大作家、学者们一样，被迫唱那首凌辱人格的《鬼嚎歌》。记得词曲大致如下（有些音符无法写出）：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tbl>
      <w:tblPr>
        <w:tblStyle w:val="2"/>
        <w:tblW w:w="6073" w:type="dxa"/>
        <w:jc w:val="center"/>
        <w:tblBorders>
          <w:top w:val="dotted" w:color="auto" w:sz="4" w:space="0"/>
          <w:left w:val="dotted" w:color="auto" w:sz="4" w:space="0"/>
          <w:bottom w:val="dotted" w:color="auto" w:sz="4" w:space="0"/>
          <w:right w:val="dotted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73"/>
      </w:tblGrid>
      <w:tr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16" w:hRule="atLeast"/>
          <w:jc w:val="center"/>
        </w:trPr>
        <w:tc>
          <w:tcPr>
            <w:tcW w:w="6073" w:type="dxa"/>
            <w:shd w:val="clear" w:color="auto" w:fill="202020"/>
            <w:noWrap w:val="0"/>
            <w:vAlign w:val="top"/>
          </w:tcPr>
          <w:p>
            <w:pPr>
              <w:jc w:val="left"/>
              <w:rPr>
                <w:rFonts w:hint="eastAsia"/>
                <w:sz w:val="15"/>
                <w:szCs w:val="15"/>
              </w:rPr>
            </w:pPr>
            <w:r>
              <w:rPr>
                <w:rFonts w:hint="eastAsia"/>
                <w:sz w:val="15"/>
                <w:szCs w:val="15"/>
                <w:u w:val="single"/>
              </w:rPr>
              <w:t>１５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rFonts w:hint="eastAsia"/>
                <w:sz w:val="15"/>
                <w:szCs w:val="15"/>
                <w:u w:val="single"/>
              </w:rPr>
              <w:t>１２</w:t>
            </w:r>
            <w:r>
              <w:rPr>
                <w:rFonts w:hint="eastAsia"/>
                <w:sz w:val="15"/>
                <w:szCs w:val="15"/>
              </w:rPr>
              <w:t>｜３ １｜</w:t>
            </w:r>
            <w:r>
              <w:rPr>
                <w:rFonts w:hint="eastAsia"/>
                <w:sz w:val="15"/>
                <w:szCs w:val="15"/>
                <w:u w:val="single"/>
              </w:rPr>
              <w:t>１５</w:t>
            </w:r>
            <w:r>
              <w:rPr>
                <w:rFonts w:hint="eastAsia"/>
                <w:sz w:val="15"/>
                <w:szCs w:val="15"/>
              </w:rPr>
              <w:t>　</w:t>
            </w:r>
            <w:r>
              <w:rPr>
                <w:rFonts w:hint="eastAsia"/>
                <w:sz w:val="15"/>
                <w:szCs w:val="15"/>
                <w:u w:val="single"/>
              </w:rPr>
              <w:t>１２</w:t>
            </w:r>
            <w:r>
              <w:rPr>
                <w:rFonts w:hint="eastAsia"/>
                <w:sz w:val="15"/>
                <w:szCs w:val="15"/>
              </w:rPr>
              <w:t xml:space="preserve">｜３ ２｜０  </w:t>
            </w:r>
            <w:r>
              <w:rPr>
                <w:rFonts w:hint="eastAsia"/>
                <w:sz w:val="15"/>
                <w:szCs w:val="15"/>
                <w:u w:val="single"/>
              </w:rPr>
              <w:t>００</w:t>
            </w:r>
            <w:r>
              <w:rPr>
                <w:rFonts w:hint="eastAsia"/>
                <w:sz w:val="15"/>
                <w:szCs w:val="15"/>
              </w:rPr>
              <w:t xml:space="preserve">｜０  </w:t>
            </w:r>
            <w:r>
              <w:rPr>
                <w:rFonts w:hint="eastAsia"/>
                <w:sz w:val="15"/>
                <w:szCs w:val="15"/>
                <w:u w:val="single"/>
              </w:rPr>
              <w:t>００</w:t>
            </w:r>
            <w:r>
              <w:rPr>
                <w:rFonts w:hint="eastAsia"/>
                <w:sz w:val="15"/>
                <w:szCs w:val="15"/>
              </w:rPr>
              <w:t>｜</w:t>
            </w:r>
            <w:r>
              <w:rPr>
                <w:rFonts w:hint="eastAsia"/>
                <w:sz w:val="15"/>
                <w:szCs w:val="15"/>
                <w:u w:val="single"/>
              </w:rPr>
              <w:t>６５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rFonts w:hint="eastAsia"/>
                <w:sz w:val="15"/>
                <w:szCs w:val="15"/>
                <w:u w:val="single"/>
              </w:rPr>
              <w:t>３３</w:t>
            </w:r>
            <w:r>
              <w:rPr>
                <w:rFonts w:hint="eastAsia"/>
                <w:sz w:val="15"/>
                <w:szCs w:val="15"/>
              </w:rPr>
              <w:t>｜２ １｜　</w:t>
            </w:r>
          </w:p>
          <w:p>
            <w:pPr>
              <w:jc w:val="left"/>
              <w:rPr>
                <w:rFonts w:hint="eastAsia"/>
                <w:sz w:val="15"/>
                <w:szCs w:val="15"/>
              </w:rPr>
            </w:pPr>
            <w:r>
              <w:rPr>
                <w:rFonts w:hint="eastAsia"/>
                <w:sz w:val="15"/>
                <w:szCs w:val="15"/>
              </w:rPr>
              <w:t>我是 牛鬼  蛇 神，我是　牛鬼　蛇 神，我  有罪！我  有罪！我对　人民 有 罪，</w:t>
            </w:r>
          </w:p>
          <w:p>
            <w:pPr>
              <w:tabs>
                <w:tab w:val="left" w:pos="1110"/>
              </w:tabs>
              <w:jc w:val="left"/>
              <w:rPr>
                <w:rFonts w:hint="eastAsia"/>
                <w:sz w:val="15"/>
                <w:szCs w:val="15"/>
              </w:rPr>
            </w:pPr>
            <w:r>
              <w:rPr>
                <w:sz w:val="15"/>
                <w:szCs w:val="15"/>
              </w:rPr>
              <w:tab/>
            </w:r>
          </w:p>
          <w:p>
            <w:pPr>
              <w:jc w:val="left"/>
              <w:rPr>
                <w:rFonts w:hint="eastAsia"/>
                <w:sz w:val="15"/>
                <w:szCs w:val="15"/>
              </w:rPr>
            </w:pPr>
            <w:r>
              <w:rPr>
                <w:rFonts w:hint="eastAsia"/>
                <w:sz w:val="15"/>
                <w:szCs w:val="15"/>
                <w:u w:val="single"/>
              </w:rPr>
              <w:t>３３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rFonts w:hint="eastAsia"/>
                <w:sz w:val="15"/>
                <w:szCs w:val="15"/>
                <w:u w:val="single"/>
              </w:rPr>
              <w:t>２３</w:t>
            </w:r>
            <w:r>
              <w:rPr>
                <w:rFonts w:hint="eastAsia"/>
                <w:sz w:val="15"/>
                <w:szCs w:val="15"/>
              </w:rPr>
              <w:t>｜５ ５｜</w:t>
            </w:r>
            <w:r>
              <w:rPr>
                <w:rFonts w:hint="eastAsia"/>
                <w:sz w:val="15"/>
                <w:szCs w:val="15"/>
                <w:u w:val="single"/>
              </w:rPr>
              <w:t>６５</w:t>
            </w:r>
            <w:r>
              <w:rPr>
                <w:rFonts w:hint="eastAsia"/>
                <w:sz w:val="15"/>
                <w:szCs w:val="15"/>
              </w:rPr>
              <w:t>　</w:t>
            </w:r>
            <w:r>
              <w:rPr>
                <w:rFonts w:hint="eastAsia"/>
                <w:sz w:val="15"/>
                <w:szCs w:val="15"/>
                <w:u w:val="single"/>
              </w:rPr>
              <w:t>３３</w:t>
            </w:r>
            <w:r>
              <w:rPr>
                <w:rFonts w:hint="eastAsia"/>
                <w:sz w:val="15"/>
                <w:szCs w:val="15"/>
              </w:rPr>
              <w:t>｜２ ２｜</w:t>
            </w:r>
            <w:r>
              <w:rPr>
                <w:rFonts w:hint="eastAsia"/>
                <w:sz w:val="15"/>
                <w:szCs w:val="15"/>
                <w:u w:val="single"/>
              </w:rPr>
              <w:t>３３</w:t>
            </w:r>
            <w:r>
              <w:rPr>
                <w:rFonts w:hint="eastAsia"/>
                <w:sz w:val="15"/>
                <w:szCs w:val="15"/>
              </w:rPr>
              <w:t>　</w:t>
            </w:r>
            <w:r>
              <w:rPr>
                <w:rFonts w:hint="eastAsia"/>
                <w:sz w:val="15"/>
                <w:szCs w:val="15"/>
                <w:u w:val="single"/>
              </w:rPr>
              <w:t>２３</w:t>
            </w:r>
            <w:r>
              <w:rPr>
                <w:rFonts w:hint="eastAsia"/>
                <w:sz w:val="15"/>
                <w:szCs w:val="15"/>
              </w:rPr>
              <w:t>｜５ ５｜</w:t>
            </w:r>
            <w:r>
              <w:rPr>
                <w:rFonts w:hint="eastAsia"/>
                <w:sz w:val="15"/>
                <w:szCs w:val="15"/>
                <w:u w:val="single"/>
              </w:rPr>
              <w:t>６５</w:t>
            </w:r>
            <w:r>
              <w:rPr>
                <w:rFonts w:hint="eastAsia"/>
                <w:sz w:val="15"/>
                <w:szCs w:val="15"/>
              </w:rPr>
              <w:t>　</w:t>
            </w:r>
            <w:r>
              <w:rPr>
                <w:rFonts w:hint="eastAsia"/>
                <w:sz w:val="15"/>
                <w:szCs w:val="15"/>
                <w:u w:val="single"/>
              </w:rPr>
              <w:t>３３</w:t>
            </w:r>
            <w:r>
              <w:rPr>
                <w:rFonts w:hint="eastAsia"/>
                <w:sz w:val="15"/>
                <w:szCs w:val="15"/>
              </w:rPr>
              <w:t xml:space="preserve">｜２ １｜　         </w:t>
            </w:r>
          </w:p>
          <w:p>
            <w:pPr>
              <w:jc w:val="left"/>
              <w:rPr>
                <w:rFonts w:hint="eastAsia"/>
                <w:sz w:val="15"/>
                <w:szCs w:val="15"/>
              </w:rPr>
            </w:pPr>
            <w:r>
              <w:rPr>
                <w:rFonts w:hint="eastAsia"/>
                <w:sz w:val="15"/>
                <w:szCs w:val="15"/>
              </w:rPr>
              <w:t>人民 对我  专 政，我要　低头　认 罪。只许　老老　实 实，不许　乱说　乱 动。</w:t>
            </w:r>
          </w:p>
          <w:p>
            <w:pPr>
              <w:jc w:val="left"/>
              <w:rPr>
                <w:rFonts w:hint="eastAsia"/>
                <w:sz w:val="15"/>
                <w:szCs w:val="15"/>
              </w:rPr>
            </w:pPr>
          </w:p>
          <w:p>
            <w:pPr>
              <w:jc w:val="left"/>
              <w:rPr>
                <w:rFonts w:hint="eastAsia"/>
                <w:sz w:val="15"/>
                <w:szCs w:val="15"/>
              </w:rPr>
            </w:pPr>
            <w:r>
              <w:rPr>
                <w:rFonts w:hint="eastAsia"/>
                <w:sz w:val="15"/>
                <w:szCs w:val="15"/>
                <w:u w:val="single"/>
              </w:rPr>
              <w:t>３</w:t>
            </w:r>
            <w:r>
              <w:rPr>
                <w:rFonts w:hint="eastAsia"/>
                <w:sz w:val="15"/>
                <w:szCs w:val="15"/>
                <w:u w:val="double"/>
              </w:rPr>
              <w:t>３３</w:t>
            </w:r>
            <w:r>
              <w:rPr>
                <w:rFonts w:hint="eastAsia"/>
                <w:sz w:val="15"/>
                <w:szCs w:val="15"/>
              </w:rPr>
              <w:t>　</w:t>
            </w:r>
            <w:r>
              <w:rPr>
                <w:rFonts w:hint="eastAsia"/>
                <w:sz w:val="15"/>
                <w:szCs w:val="15"/>
                <w:u w:val="single"/>
              </w:rPr>
              <w:t>２３</w:t>
            </w:r>
            <w:r>
              <w:rPr>
                <w:rFonts w:hint="eastAsia"/>
                <w:sz w:val="15"/>
                <w:szCs w:val="15"/>
              </w:rPr>
              <w:t>｜５ ５｜</w:t>
            </w:r>
            <w:r>
              <w:rPr>
                <w:rFonts w:hint="eastAsia"/>
                <w:sz w:val="15"/>
                <w:szCs w:val="15"/>
                <w:u w:val="single"/>
              </w:rPr>
              <w:t>６５</w:t>
            </w:r>
            <w:r>
              <w:rPr>
                <w:rFonts w:hint="eastAsia"/>
                <w:sz w:val="15"/>
                <w:szCs w:val="15"/>
              </w:rPr>
              <w:t>　</w:t>
            </w:r>
            <w:r>
              <w:rPr>
                <w:rFonts w:hint="eastAsia"/>
                <w:sz w:val="15"/>
                <w:szCs w:val="15"/>
                <w:u w:val="single"/>
              </w:rPr>
              <w:t>３３</w:t>
            </w:r>
            <w:r>
              <w:rPr>
                <w:rFonts w:hint="eastAsia"/>
                <w:sz w:val="15"/>
                <w:szCs w:val="15"/>
              </w:rPr>
              <w:t xml:space="preserve">　｜ ２　１｜ </w:t>
            </w:r>
            <w:r>
              <w:rPr>
                <w:rFonts w:hint="eastAsia"/>
                <w:sz w:val="15"/>
                <w:szCs w:val="15"/>
                <w:u w:val="single"/>
              </w:rPr>
              <w:t>５５</w:t>
            </w:r>
            <w:r>
              <w:rPr>
                <w:rFonts w:hint="eastAsia"/>
                <w:sz w:val="15"/>
                <w:szCs w:val="15"/>
              </w:rPr>
              <w:t>　</w:t>
            </w:r>
            <w:r>
              <w:rPr>
                <w:rFonts w:hint="eastAsia"/>
                <w:sz w:val="15"/>
                <w:szCs w:val="15"/>
                <w:u w:val="single"/>
              </w:rPr>
              <w:t>６６</w:t>
            </w:r>
            <w:r>
              <w:rPr>
                <w:rFonts w:hint="eastAsia"/>
                <w:sz w:val="15"/>
                <w:szCs w:val="15"/>
              </w:rPr>
              <w:t xml:space="preserve"> ｜０　</w:t>
            </w:r>
            <w:r>
              <w:rPr>
                <w:rFonts w:hint="eastAsia"/>
                <w:b/>
                <w:sz w:val="15"/>
                <w:szCs w:val="15"/>
                <w:u w:val="single"/>
              </w:rPr>
              <w:t>７７</w:t>
            </w:r>
            <w:r>
              <w:rPr>
                <w:rFonts w:hint="eastAsia"/>
                <w:sz w:val="15"/>
                <w:szCs w:val="15"/>
              </w:rPr>
              <w:t>｜</w:t>
            </w:r>
          </w:p>
          <w:p>
            <w:pPr>
              <w:jc w:val="left"/>
              <w:rPr>
                <w:rFonts w:hint="eastAsia"/>
                <w:sz w:val="15"/>
                <w:szCs w:val="15"/>
              </w:rPr>
            </w:pPr>
            <w:r>
              <w:rPr>
                <w:rFonts w:hint="eastAsia"/>
                <w:sz w:val="15"/>
                <w:szCs w:val="15"/>
              </w:rPr>
              <w:t>我要是　乱说　乱 动，把我　砸烂　　 砸　碎， 把我　砸烂　　　 砸碎！</w:t>
            </w:r>
          </w:p>
        </w:tc>
      </w:tr>
    </w:tbl>
    <w:p>
      <w:pPr>
        <w:jc w:val="left"/>
        <w:rPr>
          <w:rFonts w:hint="eastAsia" w:ascii="宋体" w:hAnsi="宋体"/>
          <w:color w:val="000000"/>
          <w:szCs w:val="21"/>
        </w:rPr>
      </w:pPr>
    </w:p>
    <w:p>
      <w:pPr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“语录歌”旋律简单，节奏容易上口，音域较窄，宜于多数未受专门训练过的群众演唱；但由于语录的论述</w:t>
      </w:r>
      <w:r>
        <w:rPr>
          <w:rFonts w:hint="eastAsia" w:ascii="宋体" w:hAnsi="宋体"/>
          <w:szCs w:val="21"/>
        </w:rPr>
        <w:t>语句不适于歌曲的音律节奏，又不容许删改，只能迁就，因而唱起来像念经一样，兴味索然。1971年“九一三”林彪摔死后</w:t>
      </w:r>
      <w:r>
        <w:rPr>
          <w:rFonts w:hint="eastAsia" w:ascii="宋体" w:hAnsi="宋体"/>
          <w:color w:val="000000"/>
          <w:szCs w:val="21"/>
        </w:rPr>
        <w:t>，毛的“伟光正”形象受到沉重打击，“语录歌”、“红宝书”同林彪一样，也折戟沉沙，很快从人民生活中消失。</w:t>
      </w:r>
    </w:p>
    <w:p>
      <w:pPr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2" w:firstLineChars="200"/>
        <w:jc w:val="left"/>
        <w:rPr>
          <w:rFonts w:hint="eastAsia" w:ascii="宋体" w:hAnsi="宋体"/>
          <w:b/>
          <w:color w:val="000000"/>
          <w:szCs w:val="21"/>
        </w:rPr>
      </w:pPr>
      <w:bookmarkStart w:id="2" w:name="第08章四、3"/>
      <w:bookmarkEnd w:id="2"/>
      <w:r>
        <w:rPr>
          <w:rFonts w:hint="eastAsia" w:ascii="宋体" w:hAnsi="宋体"/>
          <w:b/>
          <w:color w:val="000000"/>
          <w:szCs w:val="21"/>
        </w:rPr>
        <w:t>3.</w:t>
      </w:r>
      <w:r>
        <w:rPr>
          <w:rFonts w:hint="eastAsia"/>
          <w:b/>
          <w:color w:val="000000"/>
          <w:szCs w:val="21"/>
        </w:rPr>
        <w:t>毛主席</w:t>
      </w:r>
      <w:r>
        <w:rPr>
          <w:rFonts w:hint="eastAsia" w:ascii="宋体" w:hAnsi="宋体"/>
          <w:b/>
          <w:color w:val="000000"/>
          <w:szCs w:val="21"/>
        </w:rPr>
        <w:t>像章热</w:t>
      </w:r>
      <w:r>
        <w:rPr>
          <w:rFonts w:hint="eastAsia" w:ascii="宋体" w:hAnsi="宋体"/>
          <w:color w:val="0000FF"/>
          <w:sz w:val="18"/>
          <w:szCs w:val="18"/>
        </w:rPr>
        <w:t xml:space="preserve"> </w:t>
      </w:r>
    </w:p>
    <w:p>
      <w:pPr>
        <w:jc w:val="left"/>
        <w:rPr>
          <w:rFonts w:hint="eastAsia" w:ascii="宋体" w:hAnsi="宋体"/>
          <w:color w:val="000000"/>
          <w:szCs w:val="21"/>
        </w:rPr>
      </w:pPr>
    </w:p>
    <w:p>
      <w:pPr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</w:t>
      </w:r>
      <w:r>
        <w:rPr>
          <w:rFonts w:hint="eastAsia" w:ascii="宋体" w:hAnsi="宋体"/>
          <w:szCs w:val="21"/>
        </w:rPr>
        <w:t>“毛主席像章”亦称“红像章”，是以毛泽东头像为表现主体的像章。据说：最早出自1937年东北抗日联军颁发的银质毛主席奖章；1942年延安制作出第一枚延安毛泽东像章；1945年，艺术家凌子风设计了最早的毛泽东金属像章；“解放”初期，一些地方就开始限量生产</w:t>
      </w:r>
      <w:r>
        <w:rPr>
          <w:rFonts w:hint="eastAsia" w:ascii="宋体" w:hAnsi="宋体"/>
          <w:color w:val="000000"/>
          <w:szCs w:val="21"/>
        </w:rPr>
        <w:t>毛泽东奖章和纪念章。但真正形成全社会</w:t>
      </w:r>
      <w:r>
        <w:rPr>
          <w:rFonts w:hint="eastAsia" w:ascii="宋体" w:hAnsi="宋体"/>
          <w:szCs w:val="21"/>
        </w:rPr>
        <w:t>“红像章”</w:t>
      </w:r>
      <w:r>
        <w:rPr>
          <w:rFonts w:hint="eastAsia" w:ascii="宋体" w:hAnsi="宋体"/>
          <w:color w:val="000000"/>
          <w:szCs w:val="21"/>
        </w:rPr>
        <w:t>狂热，则是在文革中的1966年夏到1971年夏。</w:t>
      </w:r>
    </w:p>
    <w:p>
      <w:pPr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文革中，毛泽东像章热最早兴起于部队。“接见”高潮中，红卫兵组织开始批量向徽章厂订制。随着大串联的扩张，</w:t>
      </w:r>
      <w:r>
        <w:rPr>
          <w:rFonts w:hint="eastAsia" w:ascii="宋体" w:hAnsi="宋体"/>
          <w:szCs w:val="21"/>
        </w:rPr>
        <w:t>“红像章”</w:t>
      </w:r>
      <w:r>
        <w:rPr>
          <w:rFonts w:hint="eastAsia" w:ascii="宋体" w:hAnsi="宋体"/>
          <w:color w:val="000000"/>
          <w:szCs w:val="21"/>
        </w:rPr>
        <w:t>南下、北上、东征、西进，迅速向全国各地蔓延扩张。在天安门城楼上，当党和国家领导人也佩戴起毛泽东像章时，显然向全国发出了一个重要信号：党和政府，要把</w:t>
      </w:r>
      <w:r>
        <w:rPr>
          <w:rFonts w:hint="eastAsia" w:ascii="宋体" w:hAnsi="宋体"/>
          <w:szCs w:val="21"/>
        </w:rPr>
        <w:t>“红像章”</w:t>
      </w:r>
      <w:r>
        <w:rPr>
          <w:rFonts w:hint="eastAsia" w:ascii="宋体" w:hAnsi="宋体"/>
          <w:color w:val="000000"/>
          <w:szCs w:val="21"/>
        </w:rPr>
        <w:t>热推向高潮。那时流行这样一句“名言”：“忠不忠，看行动”。这“行动”是：一跳“忠字舞”，二背“红宝书”，三戴“红像章”。</w:t>
      </w:r>
      <w:r>
        <w:rPr>
          <w:rFonts w:hint="eastAsia" w:ascii="宋体" w:hAnsi="宋体"/>
          <w:color w:val="000000"/>
          <w:sz w:val="18"/>
          <w:szCs w:val="18"/>
        </w:rPr>
        <w:t xml:space="preserve"> </w:t>
      </w:r>
    </w:p>
    <w:p>
      <w:pPr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当时形成这样一种风气：各省、市、地、县革委会和红卫兵造反派团体，在召开重要大型会议时，都要制作、赠送毛泽东像章。在像章的设计和制作上，各地都在暗中较劲儿：看谁的设计更“独具匠心”，看谁制作得更加精致，更加豪华。在暗中较劲中，各地都想以此来“证明”：我们更加热爱毛主席，我们更加崇信毛泽东思想，我们更加紧跟毛主席的革命路线！情侣结婚时，为了表示更加热爱、崇信、紧跟，把赠送“毛主席像章”、《毛主席语录》和《毛泽东选集》，当成了不可逾越的婚规！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color w:val="000000"/>
          <w:szCs w:val="21"/>
        </w:rPr>
        <w:t>像章主体是毛泽东的头像（多向左），半身像、全身像较少。像章多为红底金色像，配以毛泽东的手书或林彪的“紧跟”题词。也有以韶山、井冈山、遵义、延安、天安门等“革命圣地”作背景，环绕以松、竹、梅、日、月、星等吉祥物。也有八个样板戏之类的图案。像章一般为圆形，也有桃心形、五角形的，形制大小不等。像章最大直径达20多厘米，因无法用别针，便用绸带挂在胸前。</w:t>
      </w:r>
      <w:r>
        <w:rPr>
          <w:rFonts w:hint="eastAsia" w:ascii="宋体" w:hAnsi="宋体"/>
          <w:szCs w:val="21"/>
        </w:rPr>
        <w:t>(</w:t>
      </w:r>
      <w:r>
        <w:rPr>
          <w:rFonts w:hint="eastAsia" w:ascii="宋体" w:hAnsi="宋体"/>
          <w:szCs w:val="21"/>
          <w:lang w:eastAsia="zh-CN"/>
        </w:rPr>
        <w:t>下</w:t>
      </w:r>
      <w:r>
        <w:rPr>
          <w:rFonts w:hint="eastAsia" w:ascii="宋体" w:hAnsi="宋体"/>
          <w:szCs w:val="21"/>
        </w:rPr>
        <w:t>图</w:t>
      </w:r>
      <w:r>
        <w:rPr>
          <w:rFonts w:hint="eastAsia" w:ascii="宋体" w:hAnsi="宋体"/>
          <w:szCs w:val="21"/>
          <w:lang w:eastAsia="zh-CN"/>
        </w:rPr>
        <w:t>：</w:t>
      </w:r>
      <w:r>
        <w:rPr>
          <w:rFonts w:hint="eastAsia" w:ascii="宋体" w:hAnsi="宋体"/>
          <w:color w:val="000000"/>
          <w:sz w:val="18"/>
          <w:szCs w:val="18"/>
        </w:rPr>
        <w:t>毛泽东像章种种</w:t>
      </w:r>
      <w:r>
        <w:rPr>
          <w:rFonts w:hint="eastAsia" w:ascii="宋体" w:hAnsi="宋体"/>
          <w:szCs w:val="21"/>
        </w:rPr>
        <w:t>)</w:t>
      </w:r>
    </w:p>
    <w:p>
      <w:pPr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像章材料以铝质为主，也有铜铁、镀金、纯银、水晶石、塑料、有机玻璃、陶瓷等20多种材质。其中，以解放军总政治部制作的星形毛泽东像章和手书“为人民服务”条形章，两枚一套，俗称“军星儿”，最为精致、珍贵。“军星儿”与另一种“七分钱”（当时售价）的红地金像，共赠发、出售了1亿枚。</w:t>
      </w:r>
    </w:p>
    <w:tbl>
      <w:tblPr>
        <w:tblStyle w:val="2"/>
        <w:tblpPr w:leftFromText="180" w:rightFromText="180" w:vertAnchor="text" w:horzAnchor="margin" w:tblpXSpec="center" w:tblpY="153"/>
        <w:tblOverlap w:val="never"/>
        <w:tblW w:w="0" w:type="auto"/>
        <w:jc w:val="center"/>
        <w:tblBorders>
          <w:top w:val="triple" w:color="auto" w:sz="4" w:space="0"/>
          <w:left w:val="triple" w:color="auto" w:sz="4" w:space="0"/>
          <w:bottom w:val="triple" w:color="auto" w:sz="4" w:space="0"/>
          <w:right w:val="trip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8"/>
        <w:gridCol w:w="1372"/>
        <w:gridCol w:w="1058"/>
        <w:gridCol w:w="1448"/>
        <w:gridCol w:w="1344"/>
      </w:tblGrid>
      <w:tr>
        <w:tblPrEx>
          <w:tblBorders>
            <w:top w:val="triple" w:color="auto" w:sz="4" w:space="0"/>
            <w:left w:val="triple" w:color="auto" w:sz="4" w:space="0"/>
            <w:bottom w:val="triple" w:color="auto" w:sz="4" w:space="0"/>
            <w:right w:val="trip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1408" w:type="dxa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drawing>
                <wp:inline distT="0" distB="0" distL="114300" distR="114300">
                  <wp:extent cx="361315" cy="361315"/>
                  <wp:effectExtent l="0" t="0" r="635" b="635"/>
                  <wp:docPr id="16" name="图片 16" descr="12245173_2005041514282057413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16" descr="12245173_2005041514282057413800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315" cy="361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/>
                <w:color w:val="000000"/>
                <w:szCs w:val="21"/>
              </w:rPr>
              <w:drawing>
                <wp:inline distT="0" distB="0" distL="114300" distR="114300">
                  <wp:extent cx="361315" cy="356870"/>
                  <wp:effectExtent l="0" t="0" r="635" b="5080"/>
                  <wp:docPr id="25" name="图片 17" descr="12245173_200504151428206247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图片 17" descr="12245173_2005041514282062471800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315" cy="356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72" w:type="dxa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drawing>
                <wp:inline distT="0" distB="0" distL="114300" distR="114300">
                  <wp:extent cx="328930" cy="340995"/>
                  <wp:effectExtent l="0" t="0" r="13970" b="1905"/>
                  <wp:docPr id="27" name="图片 18" descr="12245173_20050415142820897987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图片 18" descr="12245173_2005041514282089798700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930" cy="340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/>
                <w:color w:val="000000"/>
                <w:szCs w:val="21"/>
              </w:rPr>
              <w:drawing>
                <wp:inline distT="0" distB="0" distL="114300" distR="114300">
                  <wp:extent cx="361315" cy="362585"/>
                  <wp:effectExtent l="0" t="0" r="635" b="18415"/>
                  <wp:docPr id="33" name="图片 19" descr="12245173_2005041514282092065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图片 19" descr="12245173_2005041514282092065800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315" cy="362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8" w:type="dxa"/>
            <w:noWrap w:val="0"/>
            <w:vAlign w:val="top"/>
          </w:tcPr>
          <w:p>
            <w:pPr>
              <w:snapToGrid w:val="0"/>
              <w:contextualSpacing/>
              <w:jc w:val="center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毛泽东像章种种</w:t>
            </w:r>
          </w:p>
        </w:tc>
        <w:tc>
          <w:tcPr>
            <w:tcW w:w="1447" w:type="dxa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drawing>
                <wp:inline distT="0" distB="0" distL="114300" distR="114300">
                  <wp:extent cx="388620" cy="372110"/>
                  <wp:effectExtent l="0" t="0" r="11430" b="8890"/>
                  <wp:docPr id="30" name="图片 20" descr="12245173_2005041514282079627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图片 20" descr="12245173_2005041514282079627900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72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/>
                <w:color w:val="000000"/>
                <w:szCs w:val="21"/>
              </w:rPr>
              <w:drawing>
                <wp:inline distT="0" distB="0" distL="114300" distR="114300">
                  <wp:extent cx="347345" cy="360680"/>
                  <wp:effectExtent l="0" t="0" r="14605" b="1270"/>
                  <wp:docPr id="21" name="图片 21" descr="12245173_20050415142820815250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图片 21" descr="12245173_2005041514282081525000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345" cy="360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44" w:type="dxa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drawing>
                <wp:inline distT="0" distB="0" distL="114300" distR="114300">
                  <wp:extent cx="335280" cy="400050"/>
                  <wp:effectExtent l="0" t="0" r="7620" b="0"/>
                  <wp:docPr id="18" name="图片 22" descr="12245173_200504151428214551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 22" descr="12245173_200504151428214551200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/>
                <w:color w:val="000000"/>
                <w:szCs w:val="21"/>
              </w:rPr>
              <w:drawing>
                <wp:inline distT="0" distB="0" distL="114300" distR="114300">
                  <wp:extent cx="361950" cy="353695"/>
                  <wp:effectExtent l="0" t="0" r="0" b="8255"/>
                  <wp:docPr id="39" name="图片 23" descr="12245173_2005041514282064137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图片 23" descr="12245173_2005041514282064137800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353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triple" w:color="auto" w:sz="4" w:space="0"/>
            <w:left w:val="triple" w:color="auto" w:sz="4" w:space="0"/>
            <w:bottom w:val="triple" w:color="auto" w:sz="4" w:space="0"/>
            <w:right w:val="trip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9" w:hRule="atLeast"/>
          <w:jc w:val="center"/>
        </w:trPr>
        <w:tc>
          <w:tcPr>
            <w:tcW w:w="1408" w:type="dxa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drawing>
                <wp:inline distT="0" distB="0" distL="114300" distR="114300">
                  <wp:extent cx="869315" cy="453390"/>
                  <wp:effectExtent l="0" t="0" r="6985" b="3810"/>
                  <wp:docPr id="31" name="图片 24" descr="12245173_20050415142821939076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图片 24" descr="12245173_2005041514282193907600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9315" cy="453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78" w:type="dxa"/>
            <w:gridSpan w:val="3"/>
            <w:vMerge w:val="restart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drawing>
                <wp:inline distT="0" distB="0" distL="114300" distR="114300">
                  <wp:extent cx="2384425" cy="1218565"/>
                  <wp:effectExtent l="0" t="0" r="15875" b="635"/>
                  <wp:docPr id="35" name="图片 25" descr="12245173_20050415142821453340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图片 25" descr="12245173_2005041514282145334000"/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4425" cy="1218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44" w:type="dxa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drawing>
                <wp:inline distT="0" distB="0" distL="114300" distR="114300">
                  <wp:extent cx="736600" cy="513715"/>
                  <wp:effectExtent l="0" t="0" r="6350" b="635"/>
                  <wp:docPr id="36" name="图片 26" descr="12245173_20050415142820852670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图片 26" descr="12245173_2005041514282085267000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6600" cy="513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triple" w:color="auto" w:sz="4" w:space="0"/>
            <w:left w:val="triple" w:color="auto" w:sz="4" w:space="0"/>
            <w:bottom w:val="triple" w:color="auto" w:sz="4" w:space="0"/>
            <w:right w:val="trip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atLeast"/>
          <w:jc w:val="center"/>
        </w:trPr>
        <w:tc>
          <w:tcPr>
            <w:tcW w:w="1408" w:type="dxa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drawing>
                <wp:inline distT="0" distB="0" distL="114300" distR="114300">
                  <wp:extent cx="777240" cy="388620"/>
                  <wp:effectExtent l="0" t="0" r="3810" b="11430"/>
                  <wp:docPr id="38" name="图片 27" descr="12245173_2005041514282157286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图片 27" descr="12245173_2005041514282157286200"/>
                          <pic:cNvPicPr>
                            <a:picLocks noChangeAspect="1"/>
                          </pic:cNvPicPr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240" cy="388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78" w:type="dxa"/>
            <w:gridSpan w:val="3"/>
            <w:vMerge w:val="continue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344" w:type="dxa"/>
            <w:vMerge w:val="restart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drawing>
                <wp:inline distT="0" distB="0" distL="114300" distR="114300">
                  <wp:extent cx="773430" cy="850900"/>
                  <wp:effectExtent l="0" t="0" r="7620" b="6350"/>
                  <wp:docPr id="40" name="图片 28" descr="12245173_20050415142821599824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图片 28" descr="12245173_2005041514282159982400"/>
                          <pic:cNvPicPr>
                            <a:picLocks noChangeAspect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3430" cy="850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triple" w:color="auto" w:sz="4" w:space="0"/>
            <w:left w:val="triple" w:color="auto" w:sz="4" w:space="0"/>
            <w:bottom w:val="triple" w:color="auto" w:sz="4" w:space="0"/>
            <w:right w:val="trip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atLeast"/>
          <w:jc w:val="center"/>
        </w:trPr>
        <w:tc>
          <w:tcPr>
            <w:tcW w:w="1408" w:type="dxa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drawing>
                <wp:inline distT="0" distB="0" distL="114300" distR="114300">
                  <wp:extent cx="800100" cy="400050"/>
                  <wp:effectExtent l="0" t="0" r="0" b="0"/>
                  <wp:docPr id="13" name="图片 29" descr="12245173_20050415142821919077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29" descr="12245173_2005041514282191907700"/>
                          <pic:cNvPicPr>
                            <a:picLocks noChangeAspect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78" w:type="dxa"/>
            <w:gridSpan w:val="3"/>
            <w:vMerge w:val="continue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344" w:type="dxa"/>
            <w:vMerge w:val="continue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</w:tbl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据统计：当时全国有２万多厂家生产过毛泽东像章；5年间，制作的毛泽东像章种类约4万余种，总数达22亿枚以上；其中，天津一家军需厂最高日产量超过10万枚。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　　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有人统计，文革时制作“红像章”用铝达6,000吨以上，相当于几千架米格21战斗机的用铝量。当时全国铝材库存告罄，工业生产、飞机制造所用铝原料频频告急，老百姓的日常用的铝锅、铝勺也常脱销，当局不得不凭票按“计划”供应。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1969年，周恩来针对全国上下的造神运动，提出了批评。他说：“</w:t>
      </w:r>
      <w:r>
        <w:rPr>
          <w:rFonts w:hint="eastAsia" w:ascii="宋体" w:hAnsi="宋体"/>
          <w:b/>
          <w:color w:val="000000"/>
          <w:szCs w:val="21"/>
        </w:rPr>
        <w:t>毛主席语录已发行了７亿多册，毛主席像章越做越多，已做了22亿枚</w:t>
      </w:r>
      <w:r>
        <w:rPr>
          <w:rFonts w:hint="eastAsia" w:ascii="宋体" w:hAnsi="宋体"/>
          <w:color w:val="000000"/>
          <w:szCs w:val="21"/>
        </w:rPr>
        <w:t>。”毛泽东也不得不让步，但让步让得非常“高明”，比说“讨嫌”“四个伟大”技高一筹。他说：“</w:t>
      </w:r>
      <w:r>
        <w:rPr>
          <w:rFonts w:hint="eastAsia" w:ascii="宋体" w:hAnsi="宋体"/>
          <w:b/>
          <w:color w:val="000000"/>
          <w:szCs w:val="21"/>
        </w:rPr>
        <w:t>如果把像章的金属材料用来造飞机，保卫国家，将会有用得多</w:t>
      </w:r>
      <w:r>
        <w:rPr>
          <w:rFonts w:hint="eastAsia" w:ascii="宋体" w:hAnsi="宋体"/>
          <w:color w:val="000000"/>
          <w:szCs w:val="21"/>
        </w:rPr>
        <w:t>。”他怒斥官员和老百姓说：“</w:t>
      </w:r>
      <w:r>
        <w:rPr>
          <w:rFonts w:hint="eastAsia" w:ascii="宋体" w:hAnsi="宋体"/>
          <w:b/>
          <w:szCs w:val="21"/>
        </w:rPr>
        <w:t>还我飞机</w:t>
      </w:r>
      <w:r>
        <w:rPr>
          <w:rFonts w:hint="eastAsia" w:ascii="宋体" w:hAnsi="宋体"/>
          <w:color w:val="000000"/>
          <w:szCs w:val="21"/>
        </w:rPr>
        <w:t>！”俨然是个“像章热”的反对者。见毛泽东对像章的反对态度如此坚决，中共中央大员们不敢怠慢，便紧紧跟上。1969年６月，他们在下达的《关于宣传毛泽东形象应注意的几个问题》文件中规定：“</w:t>
      </w:r>
      <w:r>
        <w:rPr>
          <w:rFonts w:hint="eastAsia" w:ascii="宋体" w:hAnsi="宋体"/>
          <w:b/>
          <w:bCs/>
          <w:color w:val="000000"/>
          <w:szCs w:val="21"/>
        </w:rPr>
        <w:t>不经中央批准，不能再制作毛泽东像章</w:t>
      </w:r>
      <w:r>
        <w:rPr>
          <w:rFonts w:hint="eastAsia" w:ascii="宋体" w:hAnsi="宋体"/>
          <w:color w:val="000000"/>
          <w:szCs w:val="21"/>
        </w:rPr>
        <w:t>。”此后，制作像章热便戛然而止。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“</w:t>
      </w:r>
      <w:r>
        <w:rPr>
          <w:rFonts w:hint="eastAsia" w:ascii="宋体" w:hAnsi="宋体"/>
          <w:b/>
          <w:color w:val="000000"/>
          <w:szCs w:val="21"/>
        </w:rPr>
        <w:t>还我飞机</w:t>
      </w:r>
      <w:r>
        <w:rPr>
          <w:rFonts w:hint="eastAsia" w:ascii="宋体" w:hAnsi="宋体"/>
          <w:color w:val="000000"/>
          <w:szCs w:val="21"/>
        </w:rPr>
        <w:t>”，使我们又一次看到了毛泽东反潮流的“伟大”精神；“</w:t>
      </w:r>
      <w:r>
        <w:rPr>
          <w:rFonts w:hint="eastAsia" w:ascii="宋体" w:hAnsi="宋体"/>
          <w:b/>
          <w:color w:val="000000"/>
          <w:szCs w:val="21"/>
        </w:rPr>
        <w:t>已做了22亿枚</w:t>
      </w:r>
      <w:r>
        <w:rPr>
          <w:rFonts w:hint="eastAsia" w:ascii="宋体" w:hAnsi="宋体"/>
          <w:color w:val="000000"/>
          <w:szCs w:val="21"/>
        </w:rPr>
        <w:t>”，使我们又一次听到了周恩来的“严肃”批评。但毛的“伟大”和周的“严肃”来得太晚了，他们竟让“像章热”随着红卫兵造反派猖獗横行了四五个年头。在这四五个年头里，</w:t>
      </w:r>
      <w:r>
        <w:rPr>
          <w:rFonts w:hint="eastAsia" w:ascii="宋体" w:hAnsi="宋体"/>
          <w:b/>
          <w:bCs/>
          <w:szCs w:val="21"/>
        </w:rPr>
        <w:t>如果他们不是始作俑者，难道没有支持过？如果他们没有支持过，难道没有默许过？如果他们没有默许过，难道没有失察过？</w:t>
      </w:r>
      <w:r>
        <w:rPr>
          <w:rFonts w:hint="eastAsia" w:ascii="宋体" w:hAnsi="宋体"/>
          <w:color w:val="000000"/>
          <w:szCs w:val="21"/>
        </w:rPr>
        <w:t>作为一个党和国家的领导人，失察就应向人民道歉，就应引咎辞职。然而，毛、周摇身一变，俨然成了“像章热”的反对者、批评者！这使我们想起了毛泽东在1962年“七千人大会”上教训人的讲话。面对由大跃进、人民公社政策造成的数千万饿殍的惨烈后果，他在那次讲话中毫无歉意地大弹“</w:t>
      </w:r>
      <w:r>
        <w:rPr>
          <w:rFonts w:hint="eastAsia" w:ascii="宋体" w:hAnsi="宋体"/>
          <w:b/>
          <w:bCs/>
          <w:szCs w:val="21"/>
        </w:rPr>
        <w:t>缺乏经验论</w:t>
      </w:r>
      <w:r>
        <w:rPr>
          <w:rFonts w:hint="eastAsia" w:ascii="宋体" w:hAnsi="宋体"/>
          <w:color w:val="000000"/>
          <w:szCs w:val="21"/>
        </w:rPr>
        <w:t>”，并把它提升到深奥莫测的理论高度。他教训人道：“</w:t>
      </w:r>
      <w:r>
        <w:rPr>
          <w:rFonts w:hint="eastAsia" w:ascii="宋体" w:hAnsi="宋体"/>
          <w:b/>
          <w:color w:val="000000"/>
          <w:szCs w:val="21"/>
        </w:rPr>
        <w:t>我讲我们中国共产党人</w:t>
      </w:r>
      <w:r>
        <w:rPr>
          <w:rFonts w:hint="eastAsia" w:ascii="宋体" w:hAnsi="宋体"/>
          <w:color w:val="000000"/>
          <w:szCs w:val="21"/>
        </w:rPr>
        <w:t>……</w:t>
      </w:r>
      <w:r>
        <w:rPr>
          <w:rFonts w:hint="eastAsia" w:ascii="宋体" w:hAnsi="宋体"/>
          <w:b/>
          <w:color w:val="000000"/>
          <w:szCs w:val="21"/>
        </w:rPr>
        <w:t>从建设社会主义这个未被认识的必然王国，到逐步地克服盲目性、认识客观规律、从而获得自由，在认识上出现一个飞跃，到达自由王国</w:t>
      </w:r>
      <w:r>
        <w:rPr>
          <w:rFonts w:hint="eastAsia" w:ascii="宋体" w:hAnsi="宋体"/>
          <w:color w:val="000000"/>
          <w:szCs w:val="21"/>
        </w:rPr>
        <w:t>。”毛的高谈阔论，使我们懂得了</w:t>
      </w:r>
      <w:r>
        <w:rPr>
          <w:rFonts w:hint="eastAsia" w:ascii="宋体" w:hAnsi="宋体"/>
          <w:szCs w:val="21"/>
        </w:rPr>
        <w:t>什么叫巧言令色？什么叫卑鄙无耻？什么叫无产阶级专政条件下独特的、理直气壮的恶叉白赖？</w:t>
      </w:r>
      <w:r>
        <w:rPr>
          <w:rFonts w:hint="eastAsia" w:ascii="宋体" w:hAnsi="宋体"/>
          <w:color w:val="000000"/>
          <w:szCs w:val="21"/>
        </w:rPr>
        <w:t>相比之下，在“像章热”上保持沉默的林彪，反而使人感到他相对诚实些。</w:t>
      </w:r>
    </w:p>
    <w:p>
      <w:pPr>
        <w:jc w:val="left"/>
        <w:rPr>
          <w:rFonts w:hint="eastAsia" w:ascii="宋体" w:hAnsi="宋体"/>
          <w:color w:val="000000"/>
          <w:szCs w:val="21"/>
        </w:rPr>
      </w:pPr>
    </w:p>
    <w:tbl>
      <w:tblPr>
        <w:tblStyle w:val="2"/>
        <w:tblpPr w:leftFromText="180" w:rightFromText="180" w:vertAnchor="text" w:horzAnchor="margin" w:tblpXSpec="right" w:tblpY="1880"/>
        <w:tblW w:w="0" w:type="auto"/>
        <w:tblInd w:w="0" w:type="dxa"/>
        <w:tblBorders>
          <w:top w:val="triple" w:color="auto" w:sz="4" w:space="0"/>
          <w:left w:val="triple" w:color="auto" w:sz="4" w:space="0"/>
          <w:bottom w:val="triple" w:color="auto" w:sz="4" w:space="0"/>
          <w:right w:val="trip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</w:tblGrid>
      <w:tr>
        <w:tblPrEx>
          <w:tblBorders>
            <w:top w:val="triple" w:color="auto" w:sz="4" w:space="0"/>
            <w:left w:val="triple" w:color="auto" w:sz="4" w:space="0"/>
            <w:bottom w:val="triple" w:color="auto" w:sz="4" w:space="0"/>
            <w:right w:val="trip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2" w:hRule="atLeast"/>
        </w:trPr>
        <w:tc>
          <w:tcPr>
            <w:tcW w:w="2130" w:type="dxa"/>
            <w:noWrap w:val="0"/>
            <w:vAlign w:val="top"/>
          </w:tcPr>
          <w:p>
            <w:pPr>
              <w:jc w:val="left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drawing>
                <wp:inline distT="0" distB="0" distL="114300" distR="114300">
                  <wp:extent cx="1151890" cy="1689100"/>
                  <wp:effectExtent l="0" t="0" r="10160" b="6350"/>
                  <wp:docPr id="14" name="图片 30" descr="12、《上访者》 1977年 李晓斌 摄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30" descr="12、《上访者》 1977年 李晓斌 摄"/>
                          <pic:cNvPicPr>
                            <a:picLocks noChangeAspect="1"/>
                          </pic:cNvPicPr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890" cy="168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5"/>
                <w:szCs w:val="15"/>
              </w:rPr>
              <w:t>1977年《上访者》</w:t>
            </w:r>
          </w:p>
        </w:tc>
      </w:tr>
    </w:tbl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1971年9月13日，林彪折戟沉沙于蒙古，狂热的红卫兵造反派、摇旗呐喊的芸芸众生，看到了“永远健康”的副统帅的悲惨下场后，才有所醒悟，“像章热”也随之逐渐冷却下来。毛泽东死后的1980年，中共中央在下发的《关于坚持“少宣传个人”的几个问题的指示》文件中规定：“</w:t>
      </w:r>
      <w:r>
        <w:rPr>
          <w:rFonts w:hint="eastAsia" w:ascii="宋体" w:hAnsi="宋体"/>
          <w:b/>
          <w:bCs/>
          <w:color w:val="000000"/>
          <w:szCs w:val="21"/>
        </w:rPr>
        <w:t>毛泽东像章要大量回收利用，以免浪费大量金属材料</w:t>
      </w:r>
      <w:r>
        <w:rPr>
          <w:rFonts w:hint="eastAsia" w:ascii="宋体" w:hAnsi="宋体"/>
          <w:color w:val="000000"/>
          <w:szCs w:val="21"/>
        </w:rPr>
        <w:t xml:space="preserve">。”遥想当年，人们怀着激动的心情，顶着烈日迎“圣像”，冒着飞雪购“像章”，有时还要排着长队等待领导奖授“毛主席像章”。然而，曾几何时，星移斗转，风云变幻，“毛主席像章”竟被当成废品垃圾，用簸箕撮、麻袋装，进行全面清收，其场面令人难以释怀。据说，回收“毛主席像章”的废铝达千吨。 </w:t>
      </w:r>
    </w:p>
    <w:p>
      <w:pPr>
        <w:ind w:firstLine="422" w:firstLineChars="200"/>
        <w:jc w:val="left"/>
        <w:rPr>
          <w:rFonts w:hint="eastAsia"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Cs w:val="21"/>
        </w:rPr>
        <w:t>　　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“像章热”真正冷却是在毛泽东死后。文革是个迫害猖獗的时代，造成了大量冤假错案。1977年，人们开始为自己、为亲友在文革中所遭受到的迫害</w:t>
      </w:r>
      <w:r>
        <w:rPr>
          <w:rFonts w:hint="eastAsia" w:ascii="宋体" w:hAnsi="宋体"/>
          <w:b/>
          <w:bCs/>
          <w:szCs w:val="21"/>
        </w:rPr>
        <w:t>鸣冤叫屈</w:t>
      </w:r>
      <w:r>
        <w:rPr>
          <w:rFonts w:hint="eastAsia" w:ascii="宋体" w:hAnsi="宋体"/>
          <w:color w:val="000000"/>
          <w:szCs w:val="21"/>
        </w:rPr>
        <w:t>；但在“</w:t>
      </w:r>
      <w:r>
        <w:rPr>
          <w:rFonts w:hint="eastAsia" w:ascii="宋体" w:hAnsi="宋体"/>
          <w:b/>
          <w:bCs/>
          <w:color w:val="000000"/>
          <w:szCs w:val="21"/>
        </w:rPr>
        <w:t>歌颂——迫害——再歌颂——再迫害</w:t>
      </w:r>
      <w:r>
        <w:rPr>
          <w:rFonts w:hint="eastAsia" w:ascii="宋体" w:hAnsi="宋体"/>
          <w:color w:val="000000"/>
          <w:szCs w:val="21"/>
        </w:rPr>
        <w:t>”这个周而复始怪圈的独裁社会里，戴着毛泽东像章上访，是个怪诞不经的蠢举，对上访不会产生影响。这位农民《上访者》</w:t>
      </w:r>
      <w:r>
        <w:rPr>
          <w:rFonts w:hint="eastAsia" w:ascii="宋体" w:hAnsi="宋体"/>
          <w:color w:val="000000"/>
          <w:szCs w:val="21"/>
          <w:lang w:eastAsia="zh-CN"/>
        </w:rPr>
        <w:t>（右图）</w:t>
      </w:r>
      <w:r>
        <w:rPr>
          <w:rFonts w:hint="eastAsia" w:ascii="宋体" w:hAnsi="宋体"/>
          <w:color w:val="000000"/>
          <w:szCs w:val="21"/>
        </w:rPr>
        <w:t>，看看他穿的那身破烂棉衣，便知道“大救星”毛泽东给了他什么。这不是“像章热”的继续，而是“像章热”的回光返照。</w:t>
      </w:r>
    </w:p>
    <w:p>
      <w:pPr>
        <w:jc w:val="left"/>
        <w:rPr>
          <w:rFonts w:hint="eastAsia" w:ascii="宋体" w:hAnsi="宋体"/>
          <w:b/>
          <w:color w:val="000000"/>
          <w:szCs w:val="21"/>
        </w:rPr>
      </w:pPr>
    </w:p>
    <w:p>
      <w:pPr>
        <w:ind w:firstLine="422" w:firstLineChars="200"/>
        <w:jc w:val="left"/>
        <w:rPr>
          <w:rFonts w:hint="eastAsia" w:ascii="宋体" w:hAnsi="宋体"/>
          <w:color w:val="000000"/>
          <w:sz w:val="18"/>
          <w:szCs w:val="18"/>
        </w:rPr>
      </w:pPr>
      <w:bookmarkStart w:id="3" w:name="第08章四、4"/>
      <w:bookmarkEnd w:id="3"/>
      <w:r>
        <w:rPr>
          <w:rFonts w:hint="eastAsia" w:ascii="宋体" w:hAnsi="宋体"/>
          <w:b/>
          <w:color w:val="000000"/>
          <w:szCs w:val="21"/>
        </w:rPr>
        <w:t xml:space="preserve">4、 </w:t>
      </w:r>
      <w:r>
        <w:rPr>
          <w:rFonts w:hint="eastAsia" w:ascii="宋体" w:hAnsi="宋体"/>
          <w:b/>
          <w:szCs w:val="21"/>
        </w:rPr>
        <w:t>红海洋</w:t>
      </w:r>
    </w:p>
    <w:p>
      <w:pPr>
        <w:jc w:val="left"/>
        <w:rPr>
          <w:rFonts w:hint="eastAsia"/>
        </w:rPr>
      </w:pPr>
    </w:p>
    <w:p>
      <w:pPr>
        <w:ind w:firstLine="420" w:firstLineChars="200"/>
        <w:jc w:val="left"/>
        <w:rPr>
          <w:rFonts w:hint="eastAsia"/>
        </w:rPr>
      </w:pPr>
      <w:r>
        <w:rPr>
          <w:rFonts w:hint="eastAsia"/>
        </w:rPr>
        <w:t>1966年夏季</w:t>
      </w:r>
      <w:r>
        <w:rPr>
          <w:rFonts w:hint="eastAsia" w:ascii="宋体" w:hAnsi="宋体"/>
          <w:szCs w:val="21"/>
        </w:rPr>
        <w:t>席卷全国的红海洋，是用红油漆将街道两边墙体涂成红色寓意环境“革命化”的风潮。这一时尚的功能，是以极大的视觉冲击力，为神化毛泽东和渲染造反气氛造势。</w:t>
      </w:r>
    </w:p>
    <w:p>
      <w:pPr>
        <w:ind w:firstLine="420" w:firstLineChars="200"/>
        <w:jc w:val="left"/>
        <w:rPr>
          <w:rFonts w:hint="eastAsia"/>
        </w:rPr>
      </w:pPr>
    </w:p>
    <w:p>
      <w:pPr>
        <w:ind w:firstLine="420" w:firstLineChars="200"/>
        <w:jc w:val="left"/>
        <w:rPr>
          <w:rFonts w:hint="eastAsia" w:ascii="宋体" w:hAnsi="宋体" w:eastAsia="宋体" w:cs="宋体"/>
          <w:szCs w:val="21"/>
          <w:lang w:eastAsia="zh-CN"/>
        </w:rPr>
      </w:pPr>
      <w:r>
        <w:rPr>
          <w:rFonts w:hint="eastAsia" w:ascii="宋体" w:hAnsi="宋体" w:cs="宋体"/>
          <w:szCs w:val="21"/>
        </w:rPr>
        <w:t>《人民日报》1966年8月23日第一版，发表了《好得很！》的社论。社论号召：“</w:t>
      </w:r>
      <w:r>
        <w:rPr>
          <w:rFonts w:hint="eastAsia" w:ascii="宋体" w:hAnsi="宋体" w:cs="宋体"/>
          <w:b/>
          <w:bCs/>
          <w:szCs w:val="21"/>
        </w:rPr>
        <w:t>处处是革命的标志和文字，处处是革命的语言和歌声。每个街道，每个商店，每个行业，都要成为学习毛泽东思想的学校，成为宣传、执行和捍卫毛泽东思想的阵地。</w:t>
      </w:r>
      <w:r>
        <w:rPr>
          <w:rFonts w:hint="eastAsia" w:ascii="宋体" w:hAnsi="宋体" w:cs="宋体"/>
          <w:szCs w:val="21"/>
        </w:rPr>
        <w:t>”在毛和他的喉舌《人民日报》鼓动下，北京航空学院“红旗”战斗队总部，要求驻各地的联络站，组织人力物力，迅速展开“红海洋”活动。他们带头在街道的店铺门面、广场上，在房屋、院墙墙壁和机关、学校的大门上，涂饰红油漆，再用黄油漆写上各种忠于毛泽东的标语、口号和毛泽东的语录，并绘制向日葵、红太阳、毛泽东头像和形式多样的宣传画(</w:t>
      </w:r>
      <w:r>
        <w:rPr>
          <w:rFonts w:hint="eastAsia" w:ascii="宋体" w:hAnsi="宋体" w:cs="宋体"/>
          <w:szCs w:val="21"/>
          <w:lang w:eastAsia="zh-CN"/>
        </w:rPr>
        <w:t>下</w:t>
      </w:r>
      <w:r>
        <w:rPr>
          <w:rFonts w:hint="eastAsia" w:ascii="宋体" w:hAnsi="宋体" w:cs="宋体"/>
          <w:szCs w:val="21"/>
        </w:rPr>
        <w:t>图)</w:t>
      </w:r>
      <w:r>
        <w:rPr>
          <w:rFonts w:hint="eastAsia" w:ascii="宋体" w:hAnsi="宋体" w:cs="宋体"/>
          <w:szCs w:val="21"/>
          <w:lang w:eastAsia="zh-CN"/>
        </w:rPr>
        <w:t>。</w:t>
      </w:r>
    </w:p>
    <w:p>
      <w:pPr>
        <w:ind w:firstLine="420" w:firstLineChars="200"/>
        <w:jc w:val="left"/>
        <w:rPr>
          <w:rFonts w:hint="eastAsia" w:ascii="宋体" w:hAnsi="宋体" w:cs="宋体"/>
          <w:szCs w:val="21"/>
        </w:rPr>
      </w:pPr>
    </w:p>
    <w:p>
      <w:pPr>
        <w:jc w:val="center"/>
        <w:rPr>
          <w:color w:val="000000"/>
        </w:rPr>
      </w:pPr>
      <w:r>
        <w:rPr>
          <w:rFonts w:hint="eastAsia" w:ascii="宋体" w:hAnsi="宋体"/>
          <w:color w:val="000000"/>
          <w:sz w:val="18"/>
          <w:szCs w:val="18"/>
        </w:rPr>
        <w:t>宣传画种种</w:t>
      </w:r>
    </w:p>
    <w:tbl>
      <w:tblPr>
        <w:tblStyle w:val="2"/>
        <w:tblW w:w="0" w:type="auto"/>
        <w:jc w:val="center"/>
        <w:tblBorders>
          <w:top w:val="triple" w:color="auto" w:sz="4" w:space="0"/>
          <w:left w:val="triple" w:color="auto" w:sz="4" w:space="0"/>
          <w:bottom w:val="triple" w:color="auto" w:sz="4" w:space="0"/>
          <w:right w:val="triple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7"/>
        <w:gridCol w:w="1614"/>
        <w:gridCol w:w="1697"/>
        <w:gridCol w:w="1683"/>
      </w:tblGrid>
      <w:tr>
        <w:tblPrEx>
          <w:tblBorders>
            <w:top w:val="triple" w:color="auto" w:sz="4" w:space="0"/>
            <w:left w:val="triple" w:color="auto" w:sz="4" w:space="0"/>
            <w:bottom w:val="triple" w:color="auto" w:sz="4" w:space="0"/>
            <w:right w:val="triple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  <w:jc w:val="center"/>
        </w:trPr>
        <w:tc>
          <w:tcPr>
            <w:tcW w:w="1557" w:type="dxa"/>
            <w:noWrap w:val="0"/>
            <w:vAlign w:val="center"/>
          </w:tcPr>
          <w:p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drawing>
                <wp:inline distT="0" distB="0" distL="114300" distR="114300">
                  <wp:extent cx="1130300" cy="806450"/>
                  <wp:effectExtent l="0" t="0" r="12700" b="12700"/>
                  <wp:docPr id="20" name="图片 31" descr="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图片 31" descr="6"/>
                          <pic:cNvPicPr>
                            <a:picLocks noChangeAspect="1"/>
                          </pic:cNvPicPr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0300" cy="806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14" w:type="dxa"/>
            <w:noWrap w:val="0"/>
            <w:vAlign w:val="center"/>
          </w:tcPr>
          <w:p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drawing>
                <wp:inline distT="0" distB="0" distL="114300" distR="114300">
                  <wp:extent cx="1188085" cy="788670"/>
                  <wp:effectExtent l="0" t="0" r="12065" b="11430"/>
                  <wp:docPr id="45" name="图片 32" descr="2005881940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图片 32" descr="200588194015"/>
                          <pic:cNvPicPr>
                            <a:picLocks noChangeAspect="1"/>
                          </pic:cNvPicPr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085" cy="788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7" w:type="dxa"/>
            <w:noWrap w:val="0"/>
            <w:vAlign w:val="center"/>
          </w:tcPr>
          <w:p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drawing>
                <wp:inline distT="0" distB="0" distL="114300" distR="114300">
                  <wp:extent cx="1209675" cy="775970"/>
                  <wp:effectExtent l="0" t="0" r="9525" b="5080"/>
                  <wp:docPr id="43" name="图片 33" descr="20058811313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图片 33" descr="2005881131342"/>
                          <pic:cNvPicPr>
                            <a:picLocks noChangeAspect="1"/>
                          </pic:cNvPicPr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675" cy="775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3" w:type="dxa"/>
            <w:noWrap w:val="0"/>
            <w:vAlign w:val="center"/>
          </w:tcPr>
          <w:p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drawing>
                <wp:inline distT="0" distB="0" distL="114300" distR="114300">
                  <wp:extent cx="1093470" cy="720725"/>
                  <wp:effectExtent l="0" t="0" r="11430" b="3175"/>
                  <wp:docPr id="44" name="图片 34" descr="200588111594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图片 34" descr="20058811159421"/>
                          <pic:cNvPicPr>
                            <a:picLocks noChangeAspect="1"/>
                          </pic:cNvPicPr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3470" cy="72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triple" w:color="auto" w:sz="4" w:space="0"/>
            <w:left w:val="triple" w:color="auto" w:sz="4" w:space="0"/>
            <w:bottom w:val="triple" w:color="auto" w:sz="4" w:space="0"/>
            <w:right w:val="triple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6" w:hRule="atLeast"/>
          <w:jc w:val="center"/>
        </w:trPr>
        <w:tc>
          <w:tcPr>
            <w:tcW w:w="1557" w:type="dxa"/>
            <w:noWrap w:val="0"/>
            <w:vAlign w:val="center"/>
          </w:tcPr>
          <w:p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drawing>
                <wp:inline distT="0" distB="0" distL="114300" distR="114300">
                  <wp:extent cx="1141095" cy="1512570"/>
                  <wp:effectExtent l="0" t="0" r="1905" b="11430"/>
                  <wp:docPr id="6" name="图片 35" descr="做人要做这样的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35" descr="做人要做这样的人"/>
                          <pic:cNvPicPr>
                            <a:picLocks noChangeAspect="1"/>
                          </pic:cNvPicPr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095" cy="1512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14" w:type="dxa"/>
            <w:noWrap w:val="0"/>
            <w:vAlign w:val="center"/>
          </w:tcPr>
          <w:p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drawing>
                <wp:inline distT="0" distB="0" distL="114300" distR="114300">
                  <wp:extent cx="1062355" cy="1525905"/>
                  <wp:effectExtent l="0" t="0" r="4445" b="17145"/>
                  <wp:docPr id="4" name="图片 36" descr="20058815467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36" descr="2005881546750"/>
                          <pic:cNvPicPr>
                            <a:picLocks noChangeAspect="1"/>
                          </pic:cNvPicPr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2355" cy="1525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7" w:type="dxa"/>
            <w:noWrap w:val="0"/>
            <w:vAlign w:val="center"/>
          </w:tcPr>
          <w:p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drawing>
                <wp:inline distT="0" distB="0" distL="114300" distR="114300">
                  <wp:extent cx="1116330" cy="1539240"/>
                  <wp:effectExtent l="0" t="0" r="7620" b="3810"/>
                  <wp:docPr id="1" name="图片 37" descr="20040807151444734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37" descr="2004080715144473499"/>
                          <pic:cNvPicPr>
                            <a:picLocks noChangeAspect="1"/>
                          </pic:cNvPicPr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6330" cy="1539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3" w:type="dxa"/>
            <w:noWrap w:val="0"/>
            <w:vAlign w:val="center"/>
          </w:tcPr>
          <w:p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drawing>
                <wp:inline distT="0" distB="0" distL="114300" distR="114300">
                  <wp:extent cx="1127760" cy="1544320"/>
                  <wp:effectExtent l="0" t="0" r="15240" b="17780"/>
                  <wp:docPr id="3" name="图片 38" descr="岁月悠悠老图片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8" descr="岁月悠悠老图片6"/>
                          <pic:cNvPicPr>
                            <a:picLocks noChangeAspect="1"/>
                          </pic:cNvPicPr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7760" cy="154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jc w:val="left"/>
        <w:rPr>
          <w:rFonts w:hint="eastAsia"/>
        </w:rPr>
      </w:pPr>
    </w:p>
    <w:p>
      <w:pPr>
        <w:ind w:firstLine="420" w:firstLineChars="200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于是，这种风潮旋即蔓延到全国城乡。各地商店、机关、学校、工矿、医院、车站、港口等公众场合的大面积墙体上，以及那里大门、院内、院外、室内、室外，都淹没在毛泽东语录和宣传画的红色油漆中，连厕所也不能幸免。此外，还设置了大量语录牌、标语牌、牌坊，甚至还搞了许多敬祝毛泽东的神龛、庙堂。</w:t>
      </w:r>
    </w:p>
    <w:p>
      <w:pPr>
        <w:ind w:firstLine="420" w:firstLineChars="200"/>
        <w:jc w:val="left"/>
        <w:rPr>
          <w:rFonts w:ascii="宋体" w:hAnsi="宋体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在毛泽东的默许和林彪、周恩来、江青等中共大员们的鼓励下，出现了一代红卫兵的共识：“</w:t>
      </w:r>
      <w:r>
        <w:rPr>
          <w:rFonts w:hint="eastAsia" w:ascii="宋体" w:hAnsi="宋体"/>
          <w:b/>
          <w:bCs/>
          <w:szCs w:val="21"/>
        </w:rPr>
        <w:t>‘红海洋’可以让毛泽东思想的光辉照亮每一个角落，激励革命斗志，威慑反革命分子，毛泽东思想这颗‘精神原子弹’，就会转化为巨大的物资力量，一个红彤彤的、无限美好的共产主义新世界就会降临！</w:t>
      </w:r>
      <w:r>
        <w:rPr>
          <w:rFonts w:hint="eastAsia" w:ascii="宋体" w:hAnsi="宋体"/>
          <w:szCs w:val="21"/>
        </w:rPr>
        <w:t>”对此，有人著文评曰：“这是高贵的无知！傲岸的愚昧！”由于“红海洋”泛滥成灾，各地红油漆供销告急，库存告罄。</w:t>
      </w:r>
    </w:p>
    <w:p>
      <w:pPr>
        <w:ind w:firstLine="420" w:firstLineChars="200"/>
        <w:jc w:val="left"/>
        <w:rPr>
          <w:rFonts w:ascii="宋体" w:hAnsi="宋体"/>
          <w:szCs w:val="21"/>
        </w:rPr>
      </w:pPr>
    </w:p>
    <w:p>
      <w:pPr>
        <w:jc w:val="left"/>
        <w:rPr>
          <w:rFonts w:hint="eastAsia"/>
          <w:szCs w:val="21"/>
        </w:rPr>
      </w:pPr>
      <w:r>
        <w:rPr>
          <w:rFonts w:hint="eastAsia" w:ascii="宋体" w:hAnsi="宋体"/>
          <w:szCs w:val="21"/>
        </w:rPr>
        <w:t xml:space="preserve">    “红海洋”喧闹了几个月后，毛左当权派们终于发现，这种形式主义虽能推进造神，但这种“红色波谱”的大众艺术，正在被右派们利用，正在转移无产阶级文化大革命的视线，“</w:t>
      </w:r>
      <w:r>
        <w:rPr>
          <w:rFonts w:hint="eastAsia" w:ascii="宋体" w:hAnsi="宋体"/>
          <w:b/>
          <w:bCs/>
          <w:szCs w:val="21"/>
        </w:rPr>
        <w:t>阻截了充满批斗精神大字报场地，消蚀了造反派的革命斗志，瓦解了红卫兵的造反精神！</w:t>
      </w:r>
      <w:r>
        <w:rPr>
          <w:rFonts w:hint="eastAsia" w:ascii="宋体" w:hAnsi="宋体"/>
          <w:szCs w:val="21"/>
        </w:rPr>
        <w:t>”于是，根据毛泽东的谕示，中共中央、国务院发出《关于制止所谓“红海洋”的通知》，“红海洋”遂猝然而终。</w:t>
      </w:r>
    </w:p>
    <w:p>
      <w:pPr>
        <w:jc w:val="left"/>
        <w:rPr>
          <w:rFonts w:hint="eastAsia"/>
        </w:rPr>
      </w:pPr>
    </w:p>
    <w:p>
      <w:pPr>
        <w:ind w:firstLine="422" w:firstLineChars="200"/>
        <w:jc w:val="left"/>
        <w:rPr>
          <w:rFonts w:hint="eastAsia" w:ascii="宋体" w:hAnsi="宋体"/>
          <w:color w:val="000000"/>
          <w:sz w:val="18"/>
          <w:szCs w:val="18"/>
        </w:rPr>
      </w:pPr>
      <w:bookmarkStart w:id="4" w:name="第08章四、5"/>
      <w:bookmarkEnd w:id="4"/>
      <w:r>
        <w:rPr>
          <w:rFonts w:hint="eastAsia" w:ascii="宋体" w:hAnsi="宋体"/>
          <w:b/>
          <w:color w:val="000000"/>
          <w:szCs w:val="21"/>
        </w:rPr>
        <w:t>5.</w:t>
      </w:r>
      <w:r>
        <w:rPr>
          <w:rFonts w:hint="eastAsia" w:ascii="宋体" w:hAnsi="宋体"/>
          <w:szCs w:val="21"/>
        </w:rPr>
        <w:t>“</w:t>
      </w:r>
      <w:r>
        <w:rPr>
          <w:rFonts w:hint="eastAsia" w:ascii="宋体" w:hAnsi="宋体"/>
          <w:b/>
          <w:szCs w:val="21"/>
        </w:rPr>
        <w:t>三忠于、四无限</w:t>
      </w:r>
      <w:r>
        <w:rPr>
          <w:rFonts w:hint="eastAsia" w:ascii="宋体" w:hAnsi="宋体"/>
          <w:szCs w:val="21"/>
        </w:rPr>
        <w:t>”</w:t>
      </w:r>
      <w:r>
        <w:rPr>
          <w:rFonts w:hint="eastAsia" w:ascii="宋体" w:hAnsi="宋体"/>
          <w:b/>
          <w:szCs w:val="21"/>
        </w:rPr>
        <w:t>的来源和消亡</w:t>
      </w:r>
      <w:r>
        <w:rPr>
          <w:rFonts w:hint="eastAsia" w:ascii="宋体" w:hAnsi="宋体"/>
          <w:b/>
          <w:color w:val="0000FF"/>
          <w:sz w:val="18"/>
          <w:szCs w:val="18"/>
        </w:rPr>
        <w:t xml:space="preserve"> </w:t>
      </w:r>
    </w:p>
    <w:p>
      <w:pPr>
        <w:jc w:val="left"/>
        <w:rPr>
          <w:rFonts w:hint="eastAsia"/>
        </w:rPr>
      </w:pPr>
    </w:p>
    <w:p>
      <w:pPr>
        <w:ind w:firstLine="420" w:firstLineChars="200"/>
        <w:jc w:val="left"/>
        <w:rPr>
          <w:rFonts w:hint="eastAsia"/>
        </w:rPr>
      </w:pPr>
      <w:r>
        <w:rPr>
          <w:rFonts w:hint="eastAsia"/>
        </w:rPr>
        <w:t>“</w:t>
      </w:r>
      <w:r>
        <w:rPr>
          <w:rFonts w:hint="eastAsia"/>
          <w:b/>
          <w:bCs/>
        </w:rPr>
        <w:t>三忠于、四无限</w:t>
      </w:r>
      <w:r>
        <w:rPr>
          <w:rFonts w:hint="eastAsia"/>
        </w:rPr>
        <w:t>”把毛泽东个人及其思想、政治选择做为中国党、政府和社会主义事业核心价值。这种立场和行为</w:t>
      </w:r>
      <w:r>
        <w:rPr>
          <w:szCs w:val="21"/>
        </w:rPr>
        <w:t>规范</w:t>
      </w:r>
      <w:r>
        <w:rPr>
          <w:rFonts w:hint="eastAsia"/>
          <w:szCs w:val="21"/>
        </w:rPr>
        <w:t>，</w:t>
      </w:r>
      <w:r>
        <w:rPr>
          <w:rFonts w:hint="eastAsia"/>
        </w:rPr>
        <w:t>是一种宗教观念，是马列主义教义和无产阶级专政理论的必然滋蔓：它用权力剥夺了人们的信仰自由，强迫老百姓像敬神一样去顶礼膜拜它。</w:t>
      </w:r>
    </w:p>
    <w:p>
      <w:pPr>
        <w:jc w:val="left"/>
        <w:rPr>
          <w:rFonts w:hint="eastAsia"/>
        </w:rPr>
      </w:pPr>
    </w:p>
    <w:p>
      <w:pPr>
        <w:ind w:firstLine="420" w:firstLineChars="200"/>
        <w:jc w:val="left"/>
        <w:rPr>
          <w:rFonts w:hint="eastAsia"/>
        </w:rPr>
      </w:pPr>
      <w:r>
        <w:rPr>
          <w:rFonts w:hint="eastAsia"/>
        </w:rPr>
        <w:t>“</w:t>
      </w:r>
      <w:r>
        <w:rPr>
          <w:rFonts w:hint="eastAsia"/>
          <w:b/>
          <w:bCs/>
        </w:rPr>
        <w:t>三忠于</w:t>
      </w:r>
      <w:r>
        <w:rPr>
          <w:rFonts w:hint="eastAsia"/>
        </w:rPr>
        <w:t>”即“忠于毛主席，忠于毛泽东思想，忠于毛主席的无产阶级革命路线”，最初形式是“</w:t>
      </w:r>
      <w:r>
        <w:rPr>
          <w:rFonts w:hint="eastAsia"/>
          <w:b/>
          <w:bCs/>
        </w:rPr>
        <w:t>四忠于</w:t>
      </w:r>
      <w:r>
        <w:rPr>
          <w:rFonts w:hint="eastAsia"/>
        </w:rPr>
        <w:t>”，即“永远忠于党、忠于人民、忠于毛主席、忠于毛泽东思想”，据说始于1966年7月，后精炼演变为“三忠于”定型格式，结束于1971年4月。但笔者查对资料后认为，说“四忠于”始于7月已无案可查，但始于1966年8月31日</w:t>
      </w:r>
      <w:r>
        <w:rPr>
          <w:rFonts w:hint="eastAsia"/>
          <w:bCs/>
        </w:rPr>
        <w:t>周恩来</w:t>
      </w:r>
      <w:r>
        <w:rPr>
          <w:rFonts w:hint="eastAsia"/>
        </w:rPr>
        <w:t>在天安门上的讲话里，却有据在档。</w:t>
      </w:r>
    </w:p>
    <w:p>
      <w:pPr>
        <w:ind w:firstLine="420" w:firstLineChars="200"/>
        <w:jc w:val="left"/>
        <w:rPr>
          <w:rFonts w:hint="eastAsia"/>
        </w:rPr>
      </w:pPr>
    </w:p>
    <w:p>
      <w:pPr>
        <w:ind w:firstLine="420" w:firstLineChars="200"/>
        <w:jc w:val="left"/>
        <w:rPr>
          <w:rFonts w:hint="eastAsia"/>
        </w:rPr>
      </w:pPr>
      <w:r>
        <w:rPr>
          <w:rFonts w:hint="eastAsia"/>
        </w:rPr>
        <w:t>“</w:t>
      </w:r>
      <w:r>
        <w:rPr>
          <w:rFonts w:hint="eastAsia"/>
          <w:b/>
          <w:bCs/>
        </w:rPr>
        <w:t>四无限</w:t>
      </w:r>
      <w:r>
        <w:rPr>
          <w:rFonts w:hint="eastAsia"/>
        </w:rPr>
        <w:t>”即“无限热爱毛主席、无限信仰毛主席、无限崇拜毛主席、无限忠诚毛主席”，始于1966年5月2日《人民日报》，结束时间稍早，为1969年4月中共九大。</w:t>
      </w:r>
    </w:p>
    <w:p>
      <w:pPr>
        <w:jc w:val="left"/>
        <w:rPr>
          <w:rFonts w:hint="eastAsia"/>
        </w:rPr>
      </w:pPr>
    </w:p>
    <w:p>
      <w:pPr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这种宗教观念至少可以追溯到中共七大上。那时刘少奇提出“</w:t>
      </w:r>
      <w:r>
        <w:rPr>
          <w:rFonts w:hint="eastAsia" w:ascii="宋体" w:hAnsi="宋体" w:cs="宋体"/>
          <w:b/>
          <w:szCs w:val="21"/>
        </w:rPr>
        <w:t>毛泽东思想</w:t>
      </w:r>
      <w:r>
        <w:rPr>
          <w:rFonts w:hint="eastAsia" w:ascii="宋体" w:hAnsi="宋体" w:cs="宋体"/>
          <w:szCs w:val="21"/>
        </w:rPr>
        <w:t>”为全党的指导思想。五十年代，对毛的个人崇拜就有很大发展，促成了大跃进和人民公社的疯狂。1958年，中共上海市委第一书记柯庆施说：“</w:t>
      </w:r>
      <w:r>
        <w:rPr>
          <w:rFonts w:hint="eastAsia" w:ascii="宋体" w:hAnsi="宋体" w:cs="宋体"/>
          <w:b/>
          <w:szCs w:val="21"/>
        </w:rPr>
        <w:t>相信毛主席要相信到迷信的程度，服从毛主席要服从到盲从的程度</w:t>
      </w:r>
      <w:r>
        <w:rPr>
          <w:rFonts w:hint="eastAsia" w:ascii="宋体" w:hAnsi="宋体" w:cs="宋体"/>
          <w:szCs w:val="21"/>
        </w:rPr>
        <w:t>。” 1959年庐山会议上，中共第一副主席刘少奇说：“</w:t>
      </w:r>
      <w:r>
        <w:rPr>
          <w:rFonts w:hint="eastAsia" w:ascii="宋体" w:hAnsi="宋体" w:cs="宋体"/>
          <w:b/>
          <w:szCs w:val="21"/>
        </w:rPr>
        <w:t>我想我是积极搞个人崇拜的</w:t>
      </w:r>
      <w:r>
        <w:rPr>
          <w:rFonts w:hint="eastAsia" w:ascii="宋体" w:hAnsi="宋体" w:cs="宋体"/>
          <w:szCs w:val="21"/>
        </w:rPr>
        <w:t>。</w:t>
      </w:r>
      <w:r>
        <w:rPr>
          <w:rFonts w:hint="eastAsia" w:ascii="宋体" w:hAnsi="宋体" w:cs="宋体"/>
          <w:b/>
          <w:szCs w:val="21"/>
        </w:rPr>
        <w:t>有人要反对毛泽东同志的个人崇拜</w:t>
      </w:r>
      <w:r>
        <w:rPr>
          <w:rFonts w:hint="eastAsia" w:ascii="宋体" w:hAnsi="宋体" w:cs="宋体"/>
          <w:szCs w:val="21"/>
        </w:rPr>
        <w:t>，</w:t>
      </w:r>
      <w:r>
        <w:rPr>
          <w:rFonts w:hint="eastAsia" w:ascii="宋体" w:hAnsi="宋体" w:cs="宋体"/>
          <w:b/>
          <w:szCs w:val="21"/>
        </w:rPr>
        <w:t>我想是完全不正确的</w:t>
      </w:r>
      <w:r>
        <w:rPr>
          <w:rFonts w:hint="eastAsia" w:ascii="宋体" w:hAnsi="宋体" w:cs="宋体"/>
          <w:szCs w:val="21"/>
        </w:rPr>
        <w:t>，</w:t>
      </w:r>
      <w:r>
        <w:rPr>
          <w:rFonts w:hint="eastAsia" w:ascii="宋体" w:hAnsi="宋体" w:cs="宋体"/>
          <w:b/>
          <w:szCs w:val="21"/>
        </w:rPr>
        <w:t>实际上是对党</w:t>
      </w:r>
      <w:r>
        <w:rPr>
          <w:rFonts w:hint="eastAsia" w:ascii="宋体" w:hAnsi="宋体" w:cs="宋体"/>
          <w:szCs w:val="21"/>
        </w:rPr>
        <w:t>、</w:t>
      </w:r>
      <w:r>
        <w:rPr>
          <w:rFonts w:hint="eastAsia" w:ascii="宋体" w:hAnsi="宋体" w:cs="宋体"/>
          <w:b/>
          <w:szCs w:val="21"/>
        </w:rPr>
        <w:t>对无产阶级事业</w:t>
      </w:r>
      <w:r>
        <w:rPr>
          <w:rFonts w:hint="eastAsia" w:ascii="宋体" w:hAnsi="宋体" w:cs="宋体"/>
          <w:szCs w:val="21"/>
        </w:rPr>
        <w:t>、</w:t>
      </w:r>
      <w:r>
        <w:rPr>
          <w:rFonts w:hint="eastAsia" w:ascii="宋体" w:hAnsi="宋体" w:cs="宋体"/>
          <w:b/>
          <w:szCs w:val="21"/>
        </w:rPr>
        <w:t>对人民事业的一种破坏活动</w:t>
      </w:r>
      <w:r>
        <w:rPr>
          <w:rFonts w:hint="eastAsia" w:ascii="宋体" w:hAnsi="宋体" w:cs="宋体"/>
          <w:szCs w:val="21"/>
        </w:rPr>
        <w:t>。”中共北京市委第一书记彭真指责彭德怀“反对个人崇拜”。中共中央常委陶铸说：“</w:t>
      </w:r>
      <w:r>
        <w:rPr>
          <w:rFonts w:hint="eastAsia" w:ascii="宋体" w:hAnsi="宋体" w:cs="宋体"/>
          <w:b/>
          <w:szCs w:val="21"/>
        </w:rPr>
        <w:t>对主席就是要迷信</w:t>
      </w:r>
      <w:r>
        <w:rPr>
          <w:rFonts w:hint="eastAsia" w:ascii="宋体" w:hAnsi="宋体" w:cs="宋体"/>
          <w:szCs w:val="21"/>
        </w:rPr>
        <w:t>。”中共中央常委康生说：“</w:t>
      </w:r>
      <w:r>
        <w:rPr>
          <w:rFonts w:hint="eastAsia" w:ascii="宋体" w:hAnsi="宋体" w:cs="宋体"/>
          <w:b/>
          <w:szCs w:val="21"/>
        </w:rPr>
        <w:t>毛泽东思想是马列主义的最高标准，最后标准</w:t>
      </w:r>
      <w:r>
        <w:rPr>
          <w:rFonts w:hint="eastAsia" w:ascii="宋体" w:hAnsi="宋体" w:cs="宋体"/>
          <w:szCs w:val="21"/>
        </w:rPr>
        <w:t>。”1962年初的“七千人大会”后，毛泽东为了捍卫个人权力，在“</w:t>
      </w:r>
      <w:r>
        <w:rPr>
          <w:rFonts w:hint="eastAsia" w:ascii="宋体" w:hAnsi="宋体" w:cs="宋体"/>
          <w:b/>
          <w:szCs w:val="21"/>
        </w:rPr>
        <w:t>搞点个人崇拜</w:t>
      </w:r>
      <w:r>
        <w:rPr>
          <w:rFonts w:hint="eastAsia" w:ascii="宋体" w:hAnsi="宋体" w:cs="宋体"/>
          <w:szCs w:val="21"/>
        </w:rPr>
        <w:t>”思想指导下，个人崇拜造神运动恶性发展起来。当时的中共中央唯一副主席林彪，紧紧跟上，他的“</w:t>
      </w:r>
      <w:r>
        <w:rPr>
          <w:rFonts w:hint="eastAsia" w:ascii="宋体" w:hAnsi="宋体" w:cs="宋体"/>
          <w:b/>
          <w:szCs w:val="21"/>
        </w:rPr>
        <w:t>句句是真理</w:t>
      </w:r>
      <w:r>
        <w:rPr>
          <w:rFonts w:hint="eastAsia" w:ascii="宋体" w:hAnsi="宋体" w:cs="宋体"/>
          <w:szCs w:val="21"/>
        </w:rPr>
        <w:t>”、“</w:t>
      </w:r>
      <w:r>
        <w:rPr>
          <w:rFonts w:hint="eastAsia" w:ascii="宋体" w:hAnsi="宋体" w:cs="宋体"/>
          <w:b/>
          <w:szCs w:val="21"/>
        </w:rPr>
        <w:t>一句顶一万句</w:t>
      </w:r>
      <w:r>
        <w:rPr>
          <w:rFonts w:hint="eastAsia" w:ascii="宋体" w:hAnsi="宋体" w:cs="宋体"/>
          <w:szCs w:val="21"/>
        </w:rPr>
        <w:t>”、“</w:t>
      </w:r>
      <w:r>
        <w:rPr>
          <w:rFonts w:hint="eastAsia" w:ascii="宋体" w:hAnsi="宋体" w:cs="宋体"/>
          <w:b/>
          <w:szCs w:val="21"/>
        </w:rPr>
        <w:t>最高最活</w:t>
      </w:r>
      <w:r>
        <w:rPr>
          <w:rFonts w:hint="eastAsia" w:ascii="宋体" w:hAnsi="宋体" w:cs="宋体"/>
          <w:szCs w:val="21"/>
        </w:rPr>
        <w:t>”、“</w:t>
      </w:r>
      <w:r>
        <w:rPr>
          <w:rFonts w:hint="eastAsia" w:ascii="宋体" w:hAnsi="宋体" w:cs="宋体"/>
          <w:b/>
          <w:szCs w:val="21"/>
        </w:rPr>
        <w:t>顶峰</w:t>
      </w:r>
      <w:r>
        <w:rPr>
          <w:rFonts w:hint="eastAsia" w:ascii="宋体" w:hAnsi="宋体" w:cs="宋体"/>
          <w:szCs w:val="21"/>
        </w:rPr>
        <w:t>”等等，便应劫而生；当时的中共中央常委、国务院总理周恩来，不甘落后，他的“</w:t>
      </w:r>
      <w:r>
        <w:rPr>
          <w:rFonts w:hint="eastAsia" w:ascii="宋体" w:hAnsi="宋体" w:cs="宋体"/>
          <w:b/>
          <w:szCs w:val="21"/>
        </w:rPr>
        <w:t>大立毛泽东思想</w:t>
      </w:r>
      <w:r>
        <w:rPr>
          <w:rFonts w:hint="eastAsia" w:ascii="宋体" w:hAnsi="宋体" w:cs="宋体"/>
          <w:szCs w:val="21"/>
        </w:rPr>
        <w:t>”、“</w:t>
      </w:r>
      <w:r>
        <w:rPr>
          <w:rFonts w:hint="eastAsia" w:ascii="宋体" w:hAnsi="宋体" w:cs="宋体"/>
          <w:b/>
          <w:szCs w:val="21"/>
        </w:rPr>
        <w:t>心中的红太阳</w:t>
      </w:r>
      <w:r>
        <w:rPr>
          <w:rFonts w:hint="eastAsia" w:ascii="宋体" w:hAnsi="宋体" w:cs="宋体"/>
          <w:szCs w:val="21"/>
        </w:rPr>
        <w:t>”、“</w:t>
      </w:r>
      <w:r>
        <w:rPr>
          <w:rFonts w:hint="eastAsia" w:ascii="宋体" w:hAnsi="宋体" w:cs="宋体"/>
          <w:b/>
          <w:szCs w:val="21"/>
        </w:rPr>
        <w:t>四忠于</w:t>
      </w:r>
      <w:r>
        <w:rPr>
          <w:rFonts w:hint="eastAsia" w:ascii="宋体" w:hAnsi="宋体" w:cs="宋体"/>
          <w:szCs w:val="21"/>
        </w:rPr>
        <w:t>”等等，便纷至沓来；甚至处境危险的邓小平也颂扬道：“</w:t>
      </w:r>
      <w:r>
        <w:rPr>
          <w:rFonts w:hint="eastAsia" w:ascii="宋体" w:hAnsi="宋体" w:cs="宋体"/>
          <w:b/>
          <w:szCs w:val="21"/>
        </w:rPr>
        <w:t>毛泽东思想是我们一切工作的灵魂</w:t>
      </w:r>
      <w:r>
        <w:rPr>
          <w:rFonts w:hint="eastAsia" w:ascii="宋体" w:hAnsi="宋体" w:cs="宋体"/>
          <w:szCs w:val="21"/>
        </w:rPr>
        <w:t>”。(</w:t>
      </w:r>
      <w:r>
        <w:rPr>
          <w:rFonts w:hint="eastAsia" w:ascii="宋体" w:hAnsi="宋体" w:cs="宋体"/>
          <w:szCs w:val="21"/>
          <w:lang w:eastAsia="zh-CN"/>
        </w:rPr>
        <w:t>下</w:t>
      </w:r>
      <w:r>
        <w:rPr>
          <w:rFonts w:hint="eastAsia" w:ascii="宋体" w:hAnsi="宋体" w:cs="宋体"/>
          <w:szCs w:val="21"/>
        </w:rPr>
        <w:t>图发放“毛主席著作”)</w:t>
      </w:r>
    </w:p>
    <w:p>
      <w:pPr>
        <w:ind w:firstLine="420" w:firstLineChars="200"/>
        <w:jc w:val="left"/>
        <w:rPr>
          <w:rFonts w:hint="eastAsia" w:ascii="宋体" w:hAnsi="宋体" w:cs="宋体"/>
          <w:szCs w:val="21"/>
        </w:rPr>
      </w:pPr>
    </w:p>
    <w:tbl>
      <w:tblPr>
        <w:tblStyle w:val="2"/>
        <w:tblW w:w="6270" w:type="dxa"/>
        <w:jc w:val="center"/>
        <w:tblBorders>
          <w:top w:val="triple" w:color="auto" w:sz="4" w:space="0"/>
          <w:left w:val="triple" w:color="auto" w:sz="4" w:space="0"/>
          <w:bottom w:val="triple" w:color="auto" w:sz="4" w:space="0"/>
          <w:right w:val="trip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86"/>
        <w:gridCol w:w="2031"/>
        <w:gridCol w:w="2153"/>
      </w:tblGrid>
      <w:tr>
        <w:tblPrEx>
          <w:tblBorders>
            <w:top w:val="triple" w:color="auto" w:sz="4" w:space="0"/>
            <w:left w:val="triple" w:color="auto" w:sz="4" w:space="0"/>
            <w:bottom w:val="triple" w:color="auto" w:sz="4" w:space="0"/>
            <w:right w:val="trip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8" w:hRule="atLeast"/>
          <w:jc w:val="center"/>
        </w:trPr>
        <w:tc>
          <w:tcPr>
            <w:tcW w:w="2086" w:type="dxa"/>
            <w:noWrap w:val="0"/>
            <w:vAlign w:val="top"/>
          </w:tcPr>
          <w:p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drawing>
                <wp:inline distT="0" distB="0" distL="114300" distR="114300">
                  <wp:extent cx="1321435" cy="1280160"/>
                  <wp:effectExtent l="0" t="0" r="12065" b="15240"/>
                  <wp:docPr id="5" name="图片 39" descr="　这样的大场面在稍大一点的城市里经常可以见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9" descr="　这样的大场面在稍大一点的城市里经常可以见到"/>
                          <pic:cNvPicPr>
                            <a:picLocks noChangeAspect="1"/>
                          </pic:cNvPicPr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128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1" w:type="dxa"/>
            <w:noWrap w:val="0"/>
            <w:vAlign w:val="top"/>
          </w:tcPr>
          <w:p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drawing>
                <wp:inline distT="0" distB="0" distL="114300" distR="114300">
                  <wp:extent cx="1263015" cy="996950"/>
                  <wp:effectExtent l="0" t="0" r="13335" b="12700"/>
                  <wp:docPr id="7" name="图片 40" descr="image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40" descr="image128"/>
                          <pic:cNvPicPr>
                            <a:picLocks noChangeAspect="1"/>
                          </pic:cNvPicPr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3015" cy="99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bookmarkStart w:id="5" w:name="_GoBack"/>
            <w:bookmarkEnd w:id="5"/>
            <w:r>
              <w:rPr>
                <w:rFonts w:hint="eastAsia"/>
                <w:color w:val="000000"/>
                <w:sz w:val="15"/>
                <w:szCs w:val="15"/>
              </w:rPr>
              <w:t xml:space="preserve"> </w:t>
            </w:r>
            <w:r>
              <w:rPr>
                <w:rFonts w:hint="eastAsia"/>
                <w:sz w:val="15"/>
                <w:szCs w:val="15"/>
              </w:rPr>
              <w:t>庆祝发放</w:t>
            </w:r>
            <w:r>
              <w:rPr>
                <w:rFonts w:hint="eastAsia"/>
                <w:color w:val="000000"/>
                <w:sz w:val="15"/>
                <w:szCs w:val="15"/>
              </w:rPr>
              <w:t>“毛主席著作”</w:t>
            </w:r>
          </w:p>
        </w:tc>
        <w:tc>
          <w:tcPr>
            <w:tcW w:w="2153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</w:rPr>
              <w:drawing>
                <wp:inline distT="0" distB="0" distL="114300" distR="114300">
                  <wp:extent cx="1306195" cy="990600"/>
                  <wp:effectExtent l="0" t="0" r="8255" b="0"/>
                  <wp:docPr id="9" name="图片 41" descr="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41" descr="3"/>
                          <pic:cNvPicPr>
                            <a:picLocks noChangeAspect="1"/>
                          </pic:cNvPicPr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6195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jc w:val="left"/>
        <w:rPr>
          <w:rFonts w:hint="eastAsia"/>
        </w:rPr>
      </w:pPr>
    </w:p>
    <w:p>
      <w:pPr>
        <w:ind w:firstLine="420" w:firstLineChars="200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由此可见，“三忠于、四无限”的宗教行为规范，不是红卫兵、造反派或“革命群众”的创造，而是毛和他的权贵、御用精英们，按既定马列主义宗教观念和政策进行策划、诱导的结果，是无产阶级专政理论和实践之必然。</w:t>
      </w:r>
    </w:p>
    <w:tbl>
      <w:tblPr>
        <w:tblStyle w:val="2"/>
        <w:tblpPr w:leftFromText="180" w:rightFromText="180" w:vertAnchor="text" w:horzAnchor="margin" w:tblpXSpec="center" w:tblpY="38"/>
        <w:tblW w:w="0" w:type="auto"/>
        <w:jc w:val="center"/>
        <w:tblBorders>
          <w:top w:val="triple" w:color="auto" w:sz="4" w:space="0"/>
          <w:left w:val="triple" w:color="auto" w:sz="4" w:space="0"/>
          <w:bottom w:val="triple" w:color="auto" w:sz="4" w:space="0"/>
          <w:right w:val="trip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92"/>
        <w:gridCol w:w="2046"/>
        <w:gridCol w:w="1404"/>
      </w:tblGrid>
      <w:tr>
        <w:tblPrEx>
          <w:tblBorders>
            <w:top w:val="triple" w:color="auto" w:sz="4" w:space="0"/>
            <w:left w:val="triple" w:color="auto" w:sz="4" w:space="0"/>
            <w:bottom w:val="triple" w:color="auto" w:sz="4" w:space="0"/>
            <w:right w:val="trip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9" w:hRule="atLeast"/>
          <w:jc w:val="center"/>
        </w:trPr>
        <w:tc>
          <w:tcPr>
            <w:tcW w:w="2892" w:type="dxa"/>
            <w:noWrap w:val="0"/>
            <w:vAlign w:val="top"/>
          </w:tcPr>
          <w:p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drawing>
                <wp:inline distT="0" distB="0" distL="114300" distR="114300">
                  <wp:extent cx="1781175" cy="1205230"/>
                  <wp:effectExtent l="0" t="0" r="9525" b="13970"/>
                  <wp:docPr id="2" name="图片 42" descr="image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42" descr="image133"/>
                          <pic:cNvPicPr>
                            <a:picLocks noChangeAspect="1"/>
                          </pic:cNvPicPr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1175" cy="1205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6" w:type="dxa"/>
            <w:noWrap w:val="0"/>
            <w:vAlign w:val="top"/>
          </w:tcPr>
          <w:p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drawing>
                <wp:inline distT="0" distB="0" distL="114300" distR="114300">
                  <wp:extent cx="1252220" cy="843915"/>
                  <wp:effectExtent l="0" t="0" r="5080" b="13335"/>
                  <wp:docPr id="8" name="图片 43" descr="image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43" descr="image136"/>
                          <pic:cNvPicPr>
                            <a:picLocks noChangeAspect="1"/>
                          </pic:cNvPicPr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2220" cy="843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  <w:rPr>
                <w:rFonts w:hint="eastAsia" w:ascii="宋体" w:hAnsi="宋体"/>
                <w:color w:val="000000"/>
                <w:sz w:val="15"/>
                <w:szCs w:val="15"/>
              </w:rPr>
            </w:pPr>
            <w:r>
              <w:rPr>
                <w:rFonts w:hint="eastAsia" w:ascii="宋体" w:hAnsi="宋体"/>
                <w:color w:val="000000"/>
                <w:sz w:val="15"/>
                <w:szCs w:val="15"/>
              </w:rPr>
              <w:t>残留到二十一世纪初墙标、匾额</w:t>
            </w:r>
          </w:p>
        </w:tc>
        <w:tc>
          <w:tcPr>
            <w:tcW w:w="1404" w:type="dxa"/>
            <w:noWrap w:val="0"/>
            <w:vAlign w:val="top"/>
          </w:tcPr>
          <w:p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drawing>
                <wp:inline distT="0" distB="0" distL="114300" distR="114300">
                  <wp:extent cx="784225" cy="1155065"/>
                  <wp:effectExtent l="0" t="0" r="15875" b="6985"/>
                  <wp:docPr id="11" name="图片 44" descr="image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44" descr="image135"/>
                          <pic:cNvPicPr>
                            <a:picLocks noChangeAspect="1"/>
                          </pic:cNvPicPr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4225" cy="1155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jc w:val="left"/>
        <w:rPr>
          <w:rFonts w:hint="eastAsia"/>
        </w:rPr>
      </w:pPr>
    </w:p>
    <w:p>
      <w:pPr>
        <w:jc w:val="left"/>
        <w:rPr>
          <w:rFonts w:hint="eastAsia"/>
        </w:rPr>
      </w:pPr>
      <w:r>
        <w:rPr>
          <w:rFonts w:hint="eastAsia"/>
        </w:rPr>
        <w:t xml:space="preserve">    </w:t>
      </w:r>
    </w:p>
    <w:p>
      <w:pPr>
        <w:jc w:val="left"/>
        <w:rPr>
          <w:rFonts w:hint="eastAsia"/>
        </w:rPr>
      </w:pPr>
    </w:p>
    <w:p>
      <w:pPr>
        <w:jc w:val="left"/>
        <w:rPr>
          <w:rFonts w:hint="eastAsia"/>
        </w:rPr>
      </w:pPr>
    </w:p>
    <w:p>
      <w:pPr>
        <w:jc w:val="left"/>
        <w:rPr>
          <w:rFonts w:hint="eastAsia"/>
        </w:rPr>
      </w:pPr>
    </w:p>
    <w:p>
      <w:pPr>
        <w:jc w:val="left"/>
        <w:rPr>
          <w:rFonts w:hint="eastAsia"/>
        </w:rPr>
      </w:pPr>
    </w:p>
    <w:p>
      <w:pPr>
        <w:jc w:val="left"/>
        <w:rPr>
          <w:rFonts w:hint="eastAsia"/>
        </w:rPr>
      </w:pPr>
    </w:p>
    <w:p>
      <w:pPr>
        <w:jc w:val="left"/>
        <w:rPr>
          <w:rFonts w:hint="eastAsia"/>
        </w:rPr>
      </w:pPr>
    </w:p>
    <w:p>
      <w:pPr>
        <w:jc w:val="left"/>
        <w:rPr>
          <w:rFonts w:hint="eastAsia"/>
        </w:rPr>
      </w:pPr>
    </w:p>
    <w:p>
      <w:pPr>
        <w:ind w:firstLine="420" w:firstLineChars="200"/>
        <w:jc w:val="left"/>
        <w:rPr>
          <w:rFonts w:hint="eastAsia"/>
        </w:rPr>
      </w:pPr>
      <w:r>
        <w:rPr>
          <w:rFonts w:hint="eastAsia"/>
        </w:rPr>
        <w:t>然而，大搞“三忠于、四无限”活动三年后的1969年6月12日，根据毛泽东的批示，中共中央发出《关于宣传毛主席形象应注意的几个问题》的文件规定：“</w:t>
      </w:r>
      <w:r>
        <w:rPr>
          <w:rFonts w:hint="eastAsia"/>
          <w:b/>
          <w:bCs/>
        </w:rPr>
        <w:t>各报纸平时不要用毛主席像作刊头画</w:t>
      </w:r>
      <w:r>
        <w:rPr>
          <w:rFonts w:hint="eastAsia"/>
        </w:rPr>
        <w:t>”；“</w:t>
      </w:r>
      <w:r>
        <w:rPr>
          <w:rFonts w:hint="eastAsia"/>
          <w:b/>
          <w:bCs/>
        </w:rPr>
        <w:t>不要搞‘忠字化’运动</w:t>
      </w:r>
      <w:r>
        <w:rPr>
          <w:rFonts w:hint="eastAsia"/>
        </w:rPr>
        <w:t>”；“</w:t>
      </w:r>
      <w:r>
        <w:rPr>
          <w:rFonts w:hint="eastAsia"/>
          <w:b/>
          <w:bCs/>
        </w:rPr>
        <w:t>不要修建封建式的建筑</w:t>
      </w:r>
      <w:r>
        <w:rPr>
          <w:rFonts w:hint="eastAsia"/>
        </w:rPr>
        <w:t>”；“</w:t>
      </w:r>
      <w:r>
        <w:rPr>
          <w:rFonts w:hint="eastAsia"/>
          <w:b/>
          <w:bCs/>
        </w:rPr>
        <w:t>不要搞‘早请示、晚汇报</w:t>
      </w:r>
      <w:r>
        <w:rPr>
          <w:rFonts w:hint="eastAsia"/>
        </w:rPr>
        <w:t>’、</w:t>
      </w:r>
      <w:r>
        <w:rPr>
          <w:rFonts w:hint="eastAsia"/>
          <w:b/>
          <w:bCs/>
        </w:rPr>
        <w:t>饭前读语录</w:t>
      </w:r>
      <w:r>
        <w:rPr>
          <w:rFonts w:hint="eastAsia"/>
        </w:rPr>
        <w:t>、</w:t>
      </w:r>
      <w:r>
        <w:rPr>
          <w:rFonts w:hint="eastAsia"/>
          <w:b/>
          <w:bCs/>
        </w:rPr>
        <w:t>向毛主席像行礼等形式主义的活动</w:t>
      </w:r>
      <w:r>
        <w:rPr>
          <w:rFonts w:hint="eastAsia"/>
        </w:rPr>
        <w:t>。”</w:t>
      </w:r>
    </w:p>
    <w:p>
      <w:pPr>
        <w:jc w:val="left"/>
        <w:rPr>
          <w:rFonts w:hint="eastAsia"/>
        </w:rPr>
      </w:pPr>
    </w:p>
    <w:p>
      <w:pPr>
        <w:ind w:firstLine="420" w:firstLineChars="200"/>
        <w:jc w:val="left"/>
        <w:rPr>
          <w:rFonts w:hint="eastAsia"/>
        </w:rPr>
      </w:pPr>
      <w:r>
        <w:rPr>
          <w:rFonts w:hint="eastAsia"/>
        </w:rPr>
        <w:t>为什么呢？因为，被“三忠于、四无限”推上权力</w:t>
      </w:r>
      <w:r>
        <w:rPr>
          <w:rFonts w:hint="eastAsia"/>
          <w:szCs w:val="21"/>
        </w:rPr>
        <w:t>峰巅</w:t>
      </w:r>
      <w:r>
        <w:rPr>
          <w:rFonts w:hint="eastAsia"/>
        </w:rPr>
        <w:t>的毛泽东，在“天上宫阙”颐指气使、扬扬得意了几个年头后，渐生“高处不胜寒”之感：在打倒并整死刘少奇后，逐渐又发觉“</w:t>
      </w:r>
      <w:r>
        <w:rPr>
          <w:rFonts w:hint="eastAsia"/>
          <w:b/>
          <w:bCs/>
        </w:rPr>
        <w:t>当面说好话</w:t>
      </w:r>
      <w:r>
        <w:rPr>
          <w:rFonts w:hint="eastAsia"/>
        </w:rPr>
        <w:t>”的林彪要“</w:t>
      </w:r>
      <w:r>
        <w:rPr>
          <w:rFonts w:hint="eastAsia"/>
          <w:b/>
          <w:bCs/>
        </w:rPr>
        <w:t>背后下毒手</w:t>
      </w:r>
      <w:r>
        <w:rPr>
          <w:rFonts w:hint="eastAsia"/>
        </w:rPr>
        <w:t>”了。于是，他在清算林彪前发出“最高指示”说：“‘</w:t>
      </w:r>
      <w:r>
        <w:rPr>
          <w:rFonts w:hint="eastAsia"/>
          <w:b/>
        </w:rPr>
        <w:t>紧跟</w:t>
      </w:r>
      <w:r>
        <w:rPr>
          <w:rFonts w:hint="eastAsia"/>
        </w:rPr>
        <w:t>’、‘</w:t>
      </w:r>
      <w:r>
        <w:rPr>
          <w:rFonts w:hint="eastAsia"/>
          <w:b/>
        </w:rPr>
        <w:t>三忠于</w:t>
      </w:r>
      <w:r>
        <w:rPr>
          <w:rFonts w:hint="eastAsia"/>
        </w:rPr>
        <w:t>’、‘</w:t>
      </w:r>
      <w:r>
        <w:rPr>
          <w:rFonts w:hint="eastAsia"/>
          <w:b/>
        </w:rPr>
        <w:t>四无限</w:t>
      </w:r>
      <w:r>
        <w:rPr>
          <w:rFonts w:hint="eastAsia"/>
        </w:rPr>
        <w:t>’</w:t>
      </w:r>
      <w:r>
        <w:rPr>
          <w:rFonts w:hint="eastAsia"/>
          <w:color w:val="000000"/>
        </w:rPr>
        <w:t>，</w:t>
      </w:r>
      <w:r>
        <w:rPr>
          <w:rFonts w:hint="eastAsia"/>
          <w:b/>
          <w:color w:val="000000"/>
        </w:rPr>
        <w:t>讨嫌</w:t>
      </w:r>
      <w:r>
        <w:rPr>
          <w:rFonts w:hint="eastAsia"/>
          <w:color w:val="000000"/>
        </w:rPr>
        <w:t>。</w:t>
      </w:r>
      <w:r>
        <w:rPr>
          <w:rFonts w:hint="eastAsia"/>
          <w:b/>
          <w:color w:val="000000"/>
        </w:rPr>
        <w:t>‘跟’应当跟党，我历来是路线对了，我支持；错了，我反对，敢于反潮流。‘跟’不要跟个人，个人是会变的</w:t>
      </w:r>
      <w:r>
        <w:rPr>
          <w:rFonts w:hint="eastAsia"/>
        </w:rPr>
        <w:t>……”多少年来主张“</w:t>
      </w:r>
      <w:r>
        <w:rPr>
          <w:rFonts w:hint="eastAsia" w:ascii="宋体" w:hAnsi="宋体" w:cs="宋体"/>
          <w:b/>
          <w:bCs/>
          <w:szCs w:val="21"/>
        </w:rPr>
        <w:t>有必要</w:t>
      </w:r>
      <w:r>
        <w:rPr>
          <w:rFonts w:hint="eastAsia"/>
          <w:b/>
          <w:bCs/>
        </w:rPr>
        <w:t>搞点</w:t>
      </w:r>
      <w:r>
        <w:rPr>
          <w:rFonts w:hint="eastAsia"/>
          <w:b/>
        </w:rPr>
        <w:t>个人崇拜</w:t>
      </w:r>
      <w:r>
        <w:rPr>
          <w:rFonts w:hint="eastAsia"/>
        </w:rPr>
        <w:t>”毛泽东，又一次抡起“反潮流”的大棒，来了个180度的大转弯，旋即变成了个人崇拜的反对者——</w:t>
      </w:r>
      <w:r>
        <w:rPr>
          <w:rFonts w:hint="eastAsia" w:ascii="宋体" w:hAnsi="宋体"/>
          <w:szCs w:val="21"/>
        </w:rPr>
        <w:t>真真一个出尔反尔、变化万端的弄权痞棍！</w:t>
      </w:r>
      <w:r>
        <w:rPr>
          <w:rFonts w:hint="eastAsia"/>
        </w:rPr>
        <w:t>于是，按“主旋律”节拍弹跳的权贵和御用精英们，不敢怠慢，生生地把制造、推行个人崇拜的罪责，一古脑儿推到林彪一人身上，毛死后又延展到“四人帮”身上。——历史就这样被他们任意玩弄、打扮！</w:t>
      </w:r>
    </w:p>
    <w:p>
      <w:pPr>
        <w:jc w:val="left"/>
        <w:rPr>
          <w:rFonts w:hint="eastAsia"/>
        </w:rPr>
      </w:pPr>
    </w:p>
    <w:tbl>
      <w:tblPr>
        <w:tblStyle w:val="2"/>
        <w:tblpPr w:leftFromText="180" w:rightFromText="180" w:vertAnchor="text" w:horzAnchor="page" w:tblpX="8112" w:tblpY="544"/>
        <w:tblOverlap w:val="never"/>
        <w:tblW w:w="0" w:type="auto"/>
        <w:tblInd w:w="0" w:type="dxa"/>
        <w:tblBorders>
          <w:top w:val="triple" w:color="auto" w:sz="4" w:space="0"/>
          <w:left w:val="triple" w:color="auto" w:sz="4" w:space="0"/>
          <w:bottom w:val="triple" w:color="auto" w:sz="4" w:space="0"/>
          <w:right w:val="triple" w:color="auto" w:sz="4" w:space="0"/>
          <w:insideH w:val="none" w:color="auto" w:sz="0" w:space="0"/>
          <w:insideV w:val="trip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75"/>
      </w:tblGrid>
      <w:tr>
        <w:tblPrEx>
          <w:tblBorders>
            <w:top w:val="triple" w:color="auto" w:sz="4" w:space="0"/>
            <w:left w:val="triple" w:color="auto" w:sz="4" w:space="0"/>
            <w:bottom w:val="triple" w:color="auto" w:sz="4" w:space="0"/>
            <w:right w:val="triple" w:color="auto" w:sz="4" w:space="0"/>
            <w:insideH w:val="none" w:color="auto" w:sz="0" w:space="0"/>
            <w:insideV w:val="trip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9" w:hRule="atLeast"/>
        </w:trPr>
        <w:tc>
          <w:tcPr>
            <w:tcW w:w="2175" w:type="dxa"/>
            <w:noWrap w:val="0"/>
            <w:vAlign w:val="top"/>
          </w:tcPr>
          <w:p>
            <w:pPr>
              <w:jc w:val="left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drawing>
                <wp:inline distT="0" distB="0" distL="114300" distR="114300">
                  <wp:extent cx="1247140" cy="1764665"/>
                  <wp:effectExtent l="0" t="0" r="10160" b="6985"/>
                  <wp:docPr id="10" name="图片 45" descr="僵尸红卫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45" descr="僵尸红卫兵"/>
                          <pic:cNvPicPr>
                            <a:picLocks noChangeAspect="1"/>
                          </pic:cNvPicPr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140" cy="1764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 w:val="15"/>
                <w:szCs w:val="15"/>
              </w:rPr>
              <w:t>红卫兵僵尸</w:t>
            </w:r>
          </w:p>
        </w:tc>
      </w:tr>
    </w:tbl>
    <w:p>
      <w:pPr>
        <w:ind w:firstLine="420" w:firstLineChars="200"/>
        <w:jc w:val="left"/>
        <w:rPr>
          <w:rFonts w:hint="eastAsia"/>
        </w:rPr>
      </w:pPr>
      <w:r>
        <w:rPr>
          <w:rFonts w:hint="eastAsia"/>
        </w:rPr>
        <w:t>毛泽东死后，“三忠于、四无限”遭到了一些批判，被斥为封建化的个人崇拜，奴化和取消人民的自由思想；但批判都没敢触及产生这种邪道的体制根源。</w:t>
      </w:r>
    </w:p>
    <w:p>
      <w:pPr>
        <w:jc w:val="left"/>
        <w:rPr>
          <w:rFonts w:hint="eastAsia"/>
        </w:rPr>
      </w:pPr>
    </w:p>
    <w:p>
      <w:pPr>
        <w:ind w:firstLine="420" w:firstLineChars="200"/>
        <w:jc w:val="left"/>
        <w:rPr>
          <w:rFonts w:hint="eastAsia" w:ascii="宋体" w:hAnsi="宋体"/>
          <w:szCs w:val="21"/>
        </w:rPr>
      </w:pPr>
      <w:r>
        <w:rPr>
          <w:rFonts w:hint="eastAsia"/>
          <w:szCs w:val="21"/>
        </w:rPr>
        <w:t>在中共的高层中，真正反对毛泽东搞个人崇拜的大员少之又少，比较突出的就是为人耿直的彭德怀元帅。然而，他为此付出了惨痛代价：文革中被红卫兵打断肋骨，最后伤痛癌症不治，死于囚禁中！</w:t>
      </w:r>
    </w:p>
    <w:p>
      <w:pPr>
        <w:jc w:val="left"/>
        <w:rPr>
          <w:rFonts w:hint="eastAsia"/>
        </w:rPr>
      </w:pPr>
    </w:p>
    <w:p>
      <w:pPr>
        <w:ind w:firstLine="420" w:firstLineChars="200"/>
        <w:jc w:val="left"/>
        <w:rPr>
          <w:rFonts w:hint="eastAsia" w:ascii="宋体" w:hAnsi="宋体"/>
          <w:sz w:val="18"/>
          <w:szCs w:val="18"/>
        </w:rPr>
      </w:pPr>
      <w:r>
        <w:rPr>
          <w:rFonts w:hint="eastAsia" w:ascii="宋体" w:hAnsi="宋体"/>
          <w:szCs w:val="21"/>
        </w:rPr>
        <w:t>毛泽东一手培植起来的红卫兵，对广大人民群众来说，是文革噩运中一群恶魔，给历史留下的是一堆遗臭万年的僵尸。(</w:t>
      </w:r>
      <w:r>
        <w:rPr>
          <w:rFonts w:hint="eastAsia" w:ascii="宋体" w:hAnsi="宋体"/>
          <w:szCs w:val="21"/>
          <w:lang w:eastAsia="zh-CN"/>
        </w:rPr>
        <w:t>右</w:t>
      </w:r>
      <w:r>
        <w:rPr>
          <w:rFonts w:hint="eastAsia" w:ascii="宋体" w:hAnsi="宋体"/>
          <w:szCs w:val="21"/>
        </w:rPr>
        <w:t>图)</w:t>
      </w:r>
    </w:p>
    <w:p>
      <w:pPr>
        <w:jc w:val="left"/>
        <w:rPr>
          <w:rFonts w:hint="eastAsia"/>
          <w:sz w:val="18"/>
          <w:szCs w:val="18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gwYzVjZDQ4ZGQ5ODEwZTdlMDcxZGIzY2Q3NzA1M2EifQ=="/>
  </w:docVars>
  <w:rsids>
    <w:rsidRoot w:val="178973BA"/>
    <w:rsid w:val="178973BA"/>
    <w:rsid w:val="47641C16"/>
    <w:rsid w:val="7FD33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qFormat/>
    <w:uiPriority w:val="0"/>
    <w:rPr>
      <w:color w:val="800080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9" Type="http://schemas.openxmlformats.org/officeDocument/2006/relationships/fontTable" Target="fontTable.xml"/><Relationship Id="rId48" Type="http://schemas.openxmlformats.org/officeDocument/2006/relationships/image" Target="media/image45.jpeg"/><Relationship Id="rId47" Type="http://schemas.openxmlformats.org/officeDocument/2006/relationships/image" Target="media/image44.jpeg"/><Relationship Id="rId46" Type="http://schemas.openxmlformats.org/officeDocument/2006/relationships/image" Target="media/image43.jpeg"/><Relationship Id="rId45" Type="http://schemas.openxmlformats.org/officeDocument/2006/relationships/image" Target="media/image42.jpeg"/><Relationship Id="rId44" Type="http://schemas.openxmlformats.org/officeDocument/2006/relationships/image" Target="media/image41.jpeg"/><Relationship Id="rId43" Type="http://schemas.openxmlformats.org/officeDocument/2006/relationships/image" Target="media/image40.png"/><Relationship Id="rId42" Type="http://schemas.openxmlformats.org/officeDocument/2006/relationships/image" Target="media/image39.png"/><Relationship Id="rId41" Type="http://schemas.openxmlformats.org/officeDocument/2006/relationships/image" Target="media/image38.jpeg"/><Relationship Id="rId40" Type="http://schemas.openxmlformats.org/officeDocument/2006/relationships/image" Target="media/image37.jpeg"/><Relationship Id="rId4" Type="http://schemas.openxmlformats.org/officeDocument/2006/relationships/image" Target="media/image1.png"/><Relationship Id="rId39" Type="http://schemas.openxmlformats.org/officeDocument/2006/relationships/image" Target="media/image36.jpeg"/><Relationship Id="rId38" Type="http://schemas.openxmlformats.org/officeDocument/2006/relationships/image" Target="media/image35.png"/><Relationship Id="rId37" Type="http://schemas.openxmlformats.org/officeDocument/2006/relationships/image" Target="media/image34.jpeg"/><Relationship Id="rId36" Type="http://schemas.openxmlformats.org/officeDocument/2006/relationships/image" Target="media/image33.jpeg"/><Relationship Id="rId35" Type="http://schemas.openxmlformats.org/officeDocument/2006/relationships/image" Target="media/image32.jpeg"/><Relationship Id="rId34" Type="http://schemas.openxmlformats.org/officeDocument/2006/relationships/image" Target="media/image31.jpeg"/><Relationship Id="rId33" Type="http://schemas.openxmlformats.org/officeDocument/2006/relationships/image" Target="media/image30.png"/><Relationship Id="rId32" Type="http://schemas.openxmlformats.org/officeDocument/2006/relationships/image" Target="media/image29.jpeg"/><Relationship Id="rId31" Type="http://schemas.openxmlformats.org/officeDocument/2006/relationships/image" Target="media/image28.jpeg"/><Relationship Id="rId30" Type="http://schemas.openxmlformats.org/officeDocument/2006/relationships/image" Target="media/image27.jpeg"/><Relationship Id="rId3" Type="http://schemas.openxmlformats.org/officeDocument/2006/relationships/theme" Target="theme/theme1.xml"/><Relationship Id="rId29" Type="http://schemas.openxmlformats.org/officeDocument/2006/relationships/image" Target="media/image26.jpeg"/><Relationship Id="rId28" Type="http://schemas.openxmlformats.org/officeDocument/2006/relationships/image" Target="media/image25.jpeg"/><Relationship Id="rId27" Type="http://schemas.openxmlformats.org/officeDocument/2006/relationships/image" Target="media/image24.jpeg"/><Relationship Id="rId26" Type="http://schemas.openxmlformats.org/officeDocument/2006/relationships/image" Target="media/image23.jpeg"/><Relationship Id="rId25" Type="http://schemas.openxmlformats.org/officeDocument/2006/relationships/image" Target="media/image22.jpeg"/><Relationship Id="rId24" Type="http://schemas.openxmlformats.org/officeDocument/2006/relationships/image" Target="media/image21.jpeg"/><Relationship Id="rId23" Type="http://schemas.openxmlformats.org/officeDocument/2006/relationships/image" Target="media/image20.jpeg"/><Relationship Id="rId22" Type="http://schemas.openxmlformats.org/officeDocument/2006/relationships/image" Target="media/image19.jpeg"/><Relationship Id="rId21" Type="http://schemas.openxmlformats.org/officeDocument/2006/relationships/image" Target="media/image18.jpeg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jpeg"/><Relationship Id="rId13" Type="http://schemas.openxmlformats.org/officeDocument/2006/relationships/image" Target="media/image10.png"/><Relationship Id="rId12" Type="http://schemas.openxmlformats.org/officeDocument/2006/relationships/image" Target="media/image9.jpeg"/><Relationship Id="rId11" Type="http://schemas.openxmlformats.org/officeDocument/2006/relationships/image" Target="media/image8.pn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29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2024-01-07T13:52:00Z</dcterms:created>
  <dc:creator>Administrator</dc:creator>
  <cp:lastModifiedBy>Administrator</cp:lastModifiedBy>
  <dcterms:modified xsi:type="dcterms:W3CDTF">2024-01-09T13:54:18Z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A053B2F380024EFDAE3303A99FC731E3_11</vt:lpwstr>
  </property>
</Properties>
</file>